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5798C547" w:rsidR="00E90E49" w:rsidRPr="00327997" w:rsidRDefault="00595F36" w:rsidP="00327997">
      <w:pPr>
        <w:pStyle w:val="3GPPHeader"/>
        <w:rPr>
          <w:highlight w:val="yellow"/>
        </w:rPr>
      </w:pPr>
      <w:r w:rsidRPr="00327997">
        <w:t>3GPP TSG-RAN WG1</w:t>
      </w:r>
      <w:r>
        <w:t xml:space="preserve"> </w:t>
      </w:r>
      <w:r w:rsidRPr="004F6CE9">
        <w:t xml:space="preserve">NR </w:t>
      </w:r>
      <w:r w:rsidRPr="00D32B7A">
        <w:t>Meeting #90</w:t>
      </w:r>
      <w:r w:rsidR="00E90E49" w:rsidRPr="00327997">
        <w:tab/>
      </w:r>
      <w:r w:rsidR="00F75EF9" w:rsidRPr="00F75EF9">
        <w:t>R1-1714290</w:t>
      </w:r>
    </w:p>
    <w:p w14:paraId="6A2E8161" w14:textId="515DF0ED" w:rsidR="00E90E49" w:rsidRDefault="00595F36" w:rsidP="00357380">
      <w:pPr>
        <w:pStyle w:val="3GPPHeader"/>
      </w:pPr>
      <w:r w:rsidRPr="00595F36">
        <w:t>Prague, Czech Republic, 21th – 25th August 2017</w:t>
      </w:r>
    </w:p>
    <w:p w14:paraId="1BF0A564" w14:textId="77777777" w:rsidR="00595F36" w:rsidRPr="00595F36" w:rsidRDefault="00595F36" w:rsidP="00357380">
      <w:pPr>
        <w:pStyle w:val="3GPPHeader"/>
        <w:rPr>
          <w:lang w:val="en-US"/>
        </w:rP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CDA0ECE" w:rsidR="00E90E49" w:rsidRPr="00327997" w:rsidRDefault="003D3C45" w:rsidP="00327997">
      <w:pPr>
        <w:pStyle w:val="3GPPHeader"/>
      </w:pPr>
      <w:r w:rsidRPr="00327997">
        <w:t>Title:</w:t>
      </w:r>
      <w:r w:rsidR="00E90E49" w:rsidRPr="00327997">
        <w:tab/>
      </w:r>
      <w:r w:rsidR="00055F72">
        <w:t>On beam group reporting</w:t>
      </w:r>
      <w:r w:rsidR="00B30A9F" w:rsidRPr="00B30A9F">
        <w:t xml:space="preserve"> </w:t>
      </w:r>
    </w:p>
    <w:p w14:paraId="2D554DE3" w14:textId="69F3C978" w:rsidR="00952A24" w:rsidRPr="00B30A9F" w:rsidRDefault="00952A24" w:rsidP="00327997">
      <w:pPr>
        <w:pStyle w:val="3GPPHeader"/>
        <w:rPr>
          <w:lang w:val="en-US"/>
        </w:rPr>
      </w:pPr>
      <w:r w:rsidRPr="00B30A9F">
        <w:rPr>
          <w:lang w:val="en-US"/>
        </w:rPr>
        <w:t>Agenda Item:</w:t>
      </w:r>
      <w:r w:rsidRPr="00B30A9F">
        <w:rPr>
          <w:lang w:val="en-US"/>
        </w:rPr>
        <w:tab/>
      </w:r>
      <w:r w:rsidR="00055F72" w:rsidRPr="00D63BE5">
        <w:rPr>
          <w:lang w:val="en-US"/>
        </w:rPr>
        <w:t>6.1.2.2.4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bookmarkStart w:id="0" w:name="_GoBack"/>
      <w:bookmarkEnd w:id="0"/>
    </w:p>
    <w:p w14:paraId="62C45921" w14:textId="77777777" w:rsidR="00D1428B" w:rsidRPr="00E9149C" w:rsidRDefault="008D028E" w:rsidP="00D1428B">
      <w:pPr>
        <w:pStyle w:val="BodyText"/>
      </w:pPr>
      <w:r>
        <w:t>For NR, group-based beam management has been discussed</w:t>
      </w:r>
      <w:r w:rsidR="00D1428B">
        <w:t>. In RAN1#89, the following agreements were made:</w:t>
      </w:r>
    </w:p>
    <w:p w14:paraId="219C36B5" w14:textId="77777777" w:rsidR="00D1428B" w:rsidRDefault="00D1428B" w:rsidP="00D1428B">
      <w:pPr>
        <w:pStyle w:val="BodyText"/>
      </w:pPr>
      <w:r>
        <w:rPr>
          <w:noProof/>
          <w:lang w:val="sv-SE" w:eastAsia="sv-SE"/>
        </w:rPr>
        <mc:AlternateContent>
          <mc:Choice Requires="wps">
            <w:drawing>
              <wp:inline distT="0" distB="0" distL="0" distR="0" wp14:anchorId="68239F66" wp14:editId="39A6FAF3">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1B8A55" w14:textId="77777777" w:rsidR="00D1428B" w:rsidRPr="00FD1EDF" w:rsidRDefault="00D1428B" w:rsidP="00D1428B">
                            <w:pPr>
                              <w:rPr>
                                <w:rFonts w:eastAsia="MS Mincho"/>
                                <w:lang w:eastAsia="ja-JP"/>
                              </w:rPr>
                            </w:pPr>
                            <w:r w:rsidRPr="00FD1EDF">
                              <w:rPr>
                                <w:rFonts w:eastAsia="MS Mincho"/>
                                <w:highlight w:val="green"/>
                                <w:lang w:eastAsia="ja-JP"/>
                              </w:rPr>
                              <w:t>Agreement</w:t>
                            </w:r>
                            <w:r>
                              <w:rPr>
                                <w:rFonts w:eastAsia="MS Mincho"/>
                                <w:highlight w:val="green"/>
                                <w:lang w:eastAsia="ja-JP"/>
                              </w:rPr>
                              <w:t xml:space="preserve"> 1</w:t>
                            </w:r>
                            <w:r w:rsidRPr="00FD1EDF">
                              <w:rPr>
                                <w:rFonts w:eastAsia="MS Mincho"/>
                                <w:highlight w:val="green"/>
                                <w:lang w:eastAsia="ja-JP"/>
                              </w:rPr>
                              <w:t>:</w:t>
                            </w:r>
                          </w:p>
                          <w:p w14:paraId="2F968937" w14:textId="77777777" w:rsidR="00D1428B" w:rsidRPr="00FD1EDF" w:rsidRDefault="00D1428B" w:rsidP="00D1428B">
                            <w:pPr>
                              <w:numPr>
                                <w:ilvl w:val="0"/>
                                <w:numId w:val="20"/>
                              </w:numPr>
                              <w:overflowPunct/>
                              <w:autoSpaceDE/>
                              <w:autoSpaceDN/>
                              <w:adjustRightInd/>
                              <w:spacing w:after="160" w:line="259" w:lineRule="auto"/>
                              <w:jc w:val="left"/>
                              <w:textAlignment w:val="auto"/>
                            </w:pPr>
                            <w:r w:rsidRPr="00FD1EDF">
                              <w:t>The following beam grouping criteria are considered:</w:t>
                            </w:r>
                          </w:p>
                          <w:p w14:paraId="3D1ACE82" w14:textId="77777777" w:rsidR="00D1428B" w:rsidRPr="00FD1EDF" w:rsidRDefault="00D1428B" w:rsidP="00D1428B">
                            <w:pPr>
                              <w:numPr>
                                <w:ilvl w:val="1"/>
                                <w:numId w:val="19"/>
                              </w:numPr>
                              <w:overflowPunct/>
                              <w:autoSpaceDE/>
                              <w:autoSpaceDN/>
                              <w:adjustRightInd/>
                              <w:spacing w:after="160" w:line="259" w:lineRule="auto"/>
                              <w:jc w:val="left"/>
                              <w:textAlignment w:val="auto"/>
                            </w:pPr>
                            <w:r w:rsidRPr="00FD1EDF">
                              <w:t xml:space="preserve">A1 (based on Alt 1): Different TRP TX beams reported for the same group can be received simultaneously at the UE. </w:t>
                            </w:r>
                          </w:p>
                          <w:p w14:paraId="48712EA9" w14:textId="77777777" w:rsidR="00D1428B" w:rsidRPr="00FD1EDF" w:rsidRDefault="00D1428B" w:rsidP="00D1428B">
                            <w:pPr>
                              <w:numPr>
                                <w:ilvl w:val="1"/>
                                <w:numId w:val="19"/>
                              </w:numPr>
                              <w:overflowPunct/>
                              <w:autoSpaceDE/>
                              <w:autoSpaceDN/>
                              <w:adjustRightInd/>
                              <w:spacing w:after="160" w:line="259" w:lineRule="auto"/>
                              <w:jc w:val="left"/>
                              <w:textAlignment w:val="auto"/>
                            </w:pPr>
                            <w:r w:rsidRPr="00FD1EDF">
                              <w:t>A2 (based on Alt 2): Different TRP TX beams reported for different groups can be received simultaneously at the UE.</w:t>
                            </w:r>
                          </w:p>
                          <w:p w14:paraId="3917F6A4" w14:textId="77777777" w:rsidR="00D1428B" w:rsidRPr="00FD1EDF" w:rsidRDefault="00D1428B" w:rsidP="00D1428B">
                            <w:pPr>
                              <w:numPr>
                                <w:ilvl w:val="1"/>
                                <w:numId w:val="19"/>
                              </w:numPr>
                              <w:overflowPunct/>
                              <w:autoSpaceDE/>
                              <w:autoSpaceDN/>
                              <w:adjustRightInd/>
                              <w:spacing w:after="0"/>
                              <w:jc w:val="left"/>
                              <w:textAlignment w:val="auto"/>
                              <w:rPr>
                                <w:rFonts w:eastAsia="MS Mincho"/>
                                <w:lang w:eastAsia="ja-JP"/>
                              </w:rPr>
                            </w:pPr>
                            <w:r w:rsidRPr="00FD1EDF">
                              <w:t>Down selection of the beam grouping criteria by next meeting</w:t>
                            </w:r>
                          </w:p>
                          <w:p w14:paraId="675DC4F9" w14:textId="77777777" w:rsidR="00D1428B" w:rsidRPr="00FD1EDF" w:rsidRDefault="00D1428B" w:rsidP="00D1428B">
                            <w:pPr>
                              <w:numPr>
                                <w:ilvl w:val="0"/>
                                <w:numId w:val="19"/>
                              </w:numPr>
                              <w:overflowPunct/>
                              <w:autoSpaceDE/>
                              <w:autoSpaceDN/>
                              <w:adjustRightInd/>
                              <w:spacing w:after="160" w:line="259" w:lineRule="auto"/>
                              <w:jc w:val="left"/>
                              <w:textAlignment w:val="auto"/>
                            </w:pPr>
                            <w:r w:rsidRPr="00FD1EDF">
                              <w:t>FFS in addition to the above grouping criteria, the following grouping criteria can be considered</w:t>
                            </w:r>
                          </w:p>
                          <w:p w14:paraId="135A64AB" w14:textId="77777777" w:rsidR="00D1428B" w:rsidRPr="00FD1EDF" w:rsidRDefault="00D1428B" w:rsidP="00D1428B">
                            <w:pPr>
                              <w:numPr>
                                <w:ilvl w:val="1"/>
                                <w:numId w:val="19"/>
                              </w:numPr>
                              <w:overflowPunct/>
                              <w:autoSpaceDE/>
                              <w:autoSpaceDN/>
                              <w:adjustRightInd/>
                              <w:spacing w:after="160" w:line="259" w:lineRule="auto"/>
                              <w:jc w:val="left"/>
                              <w:textAlignment w:val="auto"/>
                            </w:pPr>
                            <w:r w:rsidRPr="00FD1EDF">
                              <w:t>C1 (in combination with A1): Different TRP TX beams reported for different groups cannot be received simultaneously at the UE.</w:t>
                            </w:r>
                          </w:p>
                          <w:p w14:paraId="0DD4B04B" w14:textId="77777777" w:rsidR="00D1428B" w:rsidRPr="00FD1EDF" w:rsidRDefault="00D1428B" w:rsidP="00D1428B">
                            <w:pPr>
                              <w:numPr>
                                <w:ilvl w:val="1"/>
                                <w:numId w:val="19"/>
                              </w:numPr>
                              <w:overflowPunct/>
                              <w:autoSpaceDE/>
                              <w:autoSpaceDN/>
                              <w:adjustRightInd/>
                              <w:spacing w:after="160" w:line="259" w:lineRule="auto"/>
                              <w:jc w:val="left"/>
                              <w:textAlignment w:val="auto"/>
                              <w:rPr>
                                <w:sz w:val="22"/>
                              </w:rPr>
                            </w:pPr>
                            <w:r w:rsidRPr="00FD1EDF">
                              <w:t>C2(in combination with A2): Different TRP TX beams reported for the same group cannot be received simultaneously at the UE</w:t>
                            </w:r>
                            <w:r w:rsidRPr="00FD1EDF">
                              <w:rPr>
                                <w:sz w:val="22"/>
                              </w:rPr>
                              <w:t>.</w:t>
                            </w:r>
                          </w:p>
                          <w:p w14:paraId="337BDB41" w14:textId="77777777" w:rsidR="00D1428B" w:rsidRPr="00FD1EDF" w:rsidRDefault="00D1428B" w:rsidP="00D1428B">
                            <w:r>
                              <w:rPr>
                                <w:highlight w:val="green"/>
                              </w:rPr>
                              <w:t>Agreement 2</w:t>
                            </w:r>
                            <w:r w:rsidRPr="00247F23">
                              <w:rPr>
                                <w:highlight w:val="green"/>
                              </w:rPr>
                              <w:t>:</w:t>
                            </w:r>
                          </w:p>
                          <w:p w14:paraId="31971452" w14:textId="77777777" w:rsidR="00D1428B" w:rsidRPr="00FD1EDF" w:rsidRDefault="00D1428B" w:rsidP="00D1428B">
                            <w:pPr>
                              <w:numPr>
                                <w:ilvl w:val="0"/>
                                <w:numId w:val="20"/>
                              </w:numPr>
                              <w:overflowPunct/>
                              <w:autoSpaceDE/>
                              <w:autoSpaceDN/>
                              <w:adjustRightInd/>
                              <w:spacing w:after="160" w:line="259" w:lineRule="auto"/>
                              <w:jc w:val="left"/>
                              <w:textAlignment w:val="auto"/>
                            </w:pPr>
                            <w:r w:rsidRPr="00FD1EDF">
                              <w:rPr>
                                <w:rFonts w:hint="eastAsia"/>
                              </w:rPr>
                              <w:t>For beam management with beam group reporting the following quantities should be considered</w:t>
                            </w:r>
                          </w:p>
                          <w:p w14:paraId="0BF3611D" w14:textId="77777777" w:rsidR="00D1428B" w:rsidRPr="00FD1EDF" w:rsidRDefault="00D1428B" w:rsidP="00D1428B">
                            <w:pPr>
                              <w:numPr>
                                <w:ilvl w:val="1"/>
                                <w:numId w:val="20"/>
                              </w:numPr>
                              <w:overflowPunct/>
                              <w:autoSpaceDE/>
                              <w:autoSpaceDN/>
                              <w:adjustRightInd/>
                              <w:spacing w:after="160" w:line="259" w:lineRule="auto"/>
                              <w:jc w:val="left"/>
                              <w:textAlignment w:val="auto"/>
                            </w:pPr>
                            <w:r w:rsidRPr="00FD1EDF">
                              <w:rPr>
                                <w:rFonts w:hint="eastAsia"/>
                              </w:rPr>
                              <w:t xml:space="preserve">the </w:t>
                            </w:r>
                            <w:r w:rsidRPr="00FD1EDF">
                              <w:t xml:space="preserve">max </w:t>
                            </w:r>
                            <w:r w:rsidRPr="00FD1EDF">
                              <w:rPr>
                                <w:rFonts w:hint="eastAsia"/>
                              </w:rPr>
                              <w:t xml:space="preserve">number of groups </w:t>
                            </w:r>
                            <w:r w:rsidRPr="00FD1EDF">
                              <w:t>supported in</w:t>
                            </w:r>
                            <w:r w:rsidRPr="00FD1EDF">
                              <w:rPr>
                                <w:rFonts w:hint="eastAsia"/>
                              </w:rPr>
                              <w:t xml:space="preserve"> the spec</w:t>
                            </w:r>
                            <w:r w:rsidRPr="00FD1EDF">
                              <w:t>ification</w:t>
                            </w:r>
                            <w:r w:rsidRPr="00FD1EDF">
                              <w:rPr>
                                <w:rFonts w:hint="eastAsia"/>
                              </w:rPr>
                              <w:t xml:space="preserve"> M</w:t>
                            </w:r>
                            <w:r w:rsidRPr="00FD1EDF">
                              <w:t xml:space="preserve">, </w:t>
                            </w:r>
                          </w:p>
                          <w:p w14:paraId="12E1486A" w14:textId="77777777" w:rsidR="00D1428B" w:rsidRPr="00FD1EDF" w:rsidRDefault="00D1428B" w:rsidP="00D1428B">
                            <w:pPr>
                              <w:numPr>
                                <w:ilvl w:val="1"/>
                                <w:numId w:val="20"/>
                              </w:numPr>
                              <w:overflowPunct/>
                              <w:autoSpaceDE/>
                              <w:autoSpaceDN/>
                              <w:adjustRightInd/>
                              <w:spacing w:after="160" w:line="259" w:lineRule="auto"/>
                              <w:jc w:val="left"/>
                              <w:textAlignment w:val="auto"/>
                            </w:pPr>
                            <w:r w:rsidRPr="00FD1EDF">
                              <w:rPr>
                                <w:rFonts w:hint="eastAsia"/>
                              </w:rPr>
                              <w:t xml:space="preserve">the </w:t>
                            </w:r>
                            <w:r w:rsidRPr="00FD1EDF">
                              <w:t xml:space="preserve">max </w:t>
                            </w:r>
                            <w:r w:rsidRPr="00FD1EDF">
                              <w:rPr>
                                <w:rFonts w:hint="eastAsia"/>
                              </w:rPr>
                              <w:t xml:space="preserve">number of Tx beams per group </w:t>
                            </w:r>
                            <w:r w:rsidRPr="00FD1EDF">
                              <w:t xml:space="preserve">supported in the specification </w:t>
                            </w:r>
                            <w:r w:rsidRPr="00FD1EDF">
                              <w:rPr>
                                <w:rFonts w:hint="eastAsia"/>
                              </w:rPr>
                              <w:t>N</w:t>
                            </w:r>
                          </w:p>
                          <w:p w14:paraId="67A3CACB" w14:textId="77777777" w:rsidR="00D1428B" w:rsidRPr="00FD1EDF" w:rsidRDefault="00D1428B" w:rsidP="00D1428B">
                            <w:pPr>
                              <w:numPr>
                                <w:ilvl w:val="1"/>
                                <w:numId w:val="20"/>
                              </w:numPr>
                              <w:overflowPunct/>
                              <w:autoSpaceDE/>
                              <w:autoSpaceDN/>
                              <w:adjustRightInd/>
                              <w:spacing w:after="160" w:line="259" w:lineRule="auto"/>
                              <w:jc w:val="left"/>
                              <w:textAlignment w:val="auto"/>
                            </w:pPr>
                            <w:r w:rsidRPr="00FD1EDF">
                              <w:t xml:space="preserve">the number of groups to report L </w:t>
                            </w:r>
                          </w:p>
                          <w:p w14:paraId="11A7C81B" w14:textId="77777777" w:rsidR="00D1428B" w:rsidRPr="00FD1EDF" w:rsidRDefault="00D1428B" w:rsidP="00D1428B">
                            <w:pPr>
                              <w:numPr>
                                <w:ilvl w:val="1"/>
                                <w:numId w:val="20"/>
                              </w:numPr>
                              <w:overflowPunct/>
                              <w:autoSpaceDE/>
                              <w:autoSpaceDN/>
                              <w:adjustRightInd/>
                              <w:spacing w:after="160" w:line="259" w:lineRule="auto"/>
                              <w:jc w:val="left"/>
                              <w:textAlignment w:val="auto"/>
                            </w:pPr>
                            <w:r w:rsidRPr="00FD1EDF">
                              <w:t>the number of Tx beams per group in the report</w:t>
                            </w:r>
                            <w:r w:rsidRPr="00FD1EDF">
                              <w:rPr>
                                <w:rFonts w:hint="eastAsia"/>
                              </w:rPr>
                              <w:t xml:space="preserve"> </w:t>
                            </w:r>
                            <w:r w:rsidRPr="00FD1EDF">
                              <w:t>Q</w:t>
                            </w:r>
                          </w:p>
                          <w:p w14:paraId="6CB47F09" w14:textId="77777777" w:rsidR="00D1428B" w:rsidRPr="00FD1EDF" w:rsidRDefault="00D1428B" w:rsidP="00D1428B">
                            <w:pPr>
                              <w:numPr>
                                <w:ilvl w:val="1"/>
                                <w:numId w:val="20"/>
                              </w:numPr>
                              <w:overflowPunct/>
                              <w:autoSpaceDE/>
                              <w:autoSpaceDN/>
                              <w:adjustRightInd/>
                              <w:spacing w:after="160" w:line="259" w:lineRule="auto"/>
                              <w:jc w:val="left"/>
                              <w:textAlignment w:val="auto"/>
                            </w:pPr>
                            <w:r w:rsidRPr="00FD1EDF">
                              <w:t>FFS: UE-specific configuration of the parameters L, Q incorporating UE-capability information</w:t>
                            </w:r>
                          </w:p>
                          <w:p w14:paraId="637A6431" w14:textId="77777777" w:rsidR="00D1428B" w:rsidRPr="00FD1EDF" w:rsidRDefault="00D1428B" w:rsidP="00D1428B">
                            <w:pPr>
                              <w:numPr>
                                <w:ilvl w:val="0"/>
                                <w:numId w:val="20"/>
                              </w:numPr>
                              <w:overflowPunct/>
                              <w:autoSpaceDE/>
                              <w:autoSpaceDN/>
                              <w:adjustRightInd/>
                              <w:spacing w:after="160" w:line="259" w:lineRule="auto"/>
                              <w:jc w:val="left"/>
                              <w:textAlignment w:val="auto"/>
                            </w:pPr>
                            <w:r w:rsidRPr="00FD1EDF">
                              <w:t>L = 1, Q =</w:t>
                            </w:r>
                            <w:r w:rsidRPr="00FD1EDF">
                              <w:rPr>
                                <w:rFonts w:hint="eastAsia"/>
                              </w:rPr>
                              <w:t xml:space="preserve"> 1 are supported which implies no impact to reporting and indication overhead</w:t>
                            </w:r>
                          </w:p>
                          <w:p w14:paraId="6962A99A" w14:textId="77777777" w:rsidR="00D1428B" w:rsidRPr="00FD1EDF" w:rsidRDefault="00D1428B" w:rsidP="00D1428B">
                            <w:pPr>
                              <w:numPr>
                                <w:ilvl w:val="0"/>
                                <w:numId w:val="20"/>
                              </w:numPr>
                              <w:overflowPunct/>
                              <w:autoSpaceDE/>
                              <w:autoSpaceDN/>
                              <w:adjustRightInd/>
                              <w:spacing w:after="160" w:line="259" w:lineRule="auto"/>
                              <w:jc w:val="left"/>
                              <w:textAlignment w:val="auto"/>
                            </w:pPr>
                            <w:r w:rsidRPr="00FD1EDF">
                              <w:rPr>
                                <w:rFonts w:hint="eastAsia"/>
                              </w:rPr>
                              <w:t xml:space="preserve">Companies are encouraged to evaluate performance to determine values of </w:t>
                            </w:r>
                            <w:r w:rsidRPr="00FD1EDF">
                              <w:t>M, N, L, Q</w:t>
                            </w:r>
                            <w:r w:rsidRPr="00FD1EDF">
                              <w:rPr>
                                <w:rFonts w:hint="eastAsia"/>
                              </w:rPr>
                              <w:t xml:space="preserve"> for the first release of NR</w:t>
                            </w:r>
                            <w:r w:rsidRPr="00FD1EDF">
                              <w:t xml:space="preserve"> </w:t>
                            </w:r>
                          </w:p>
                          <w:p w14:paraId="0911782D" w14:textId="77777777" w:rsidR="00D1428B" w:rsidRPr="00A94A0F" w:rsidRDefault="00D1428B" w:rsidP="00D1428B">
                            <w:pPr>
                              <w:numPr>
                                <w:ilvl w:val="1"/>
                                <w:numId w:val="20"/>
                              </w:numPr>
                              <w:overflowPunct/>
                              <w:autoSpaceDE/>
                              <w:autoSpaceDN/>
                              <w:adjustRightInd/>
                              <w:spacing w:after="160" w:line="259" w:lineRule="auto"/>
                              <w:jc w:val="left"/>
                              <w:textAlignment w:val="auto"/>
                            </w:pPr>
                            <w:r w:rsidRPr="00FD1EDF">
                              <w:rPr>
                                <w:rFonts w:hint="eastAsia"/>
                              </w:rPr>
                              <w:t xml:space="preserve">Decide </w:t>
                            </w:r>
                            <w:r w:rsidRPr="00FD1EDF">
                              <w:t xml:space="preserve">on </w:t>
                            </w:r>
                            <w:r w:rsidRPr="00FD1EDF">
                              <w:rPr>
                                <w:rFonts w:hint="eastAsia"/>
                              </w:rPr>
                              <w:t xml:space="preserve">the values of </w:t>
                            </w:r>
                            <w:r w:rsidRPr="00FD1EDF">
                              <w:t xml:space="preserve">L, </w:t>
                            </w:r>
                            <w:r w:rsidRPr="00FD1EDF">
                              <w:rPr>
                                <w:rFonts w:hint="eastAsia"/>
                              </w:rPr>
                              <w:t>M, N</w:t>
                            </w:r>
                            <w:r w:rsidRPr="00FD1EDF">
                              <w:t>, Q</w:t>
                            </w:r>
                            <w:r w:rsidRPr="00FD1EDF">
                              <w:rPr>
                                <w:rFonts w:hint="eastAsia"/>
                              </w:rPr>
                              <w:t xml:space="preserve"> supported by the spec to be able to determine impact on reporting and indication overhead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239F66"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041B8A55" w14:textId="77777777" w:rsidR="00D1428B" w:rsidRPr="00FD1EDF" w:rsidRDefault="00D1428B" w:rsidP="00D1428B">
                      <w:pPr>
                        <w:rPr>
                          <w:rFonts w:eastAsia="MS Mincho"/>
                          <w:lang w:eastAsia="ja-JP"/>
                        </w:rPr>
                      </w:pPr>
                      <w:r w:rsidRPr="00FD1EDF">
                        <w:rPr>
                          <w:rFonts w:eastAsia="MS Mincho"/>
                          <w:highlight w:val="green"/>
                          <w:lang w:eastAsia="ja-JP"/>
                        </w:rPr>
                        <w:t>Agreement</w:t>
                      </w:r>
                      <w:r>
                        <w:rPr>
                          <w:rFonts w:eastAsia="MS Mincho"/>
                          <w:highlight w:val="green"/>
                          <w:lang w:eastAsia="ja-JP"/>
                        </w:rPr>
                        <w:t xml:space="preserve"> 1</w:t>
                      </w:r>
                      <w:r w:rsidRPr="00FD1EDF">
                        <w:rPr>
                          <w:rFonts w:eastAsia="MS Mincho"/>
                          <w:highlight w:val="green"/>
                          <w:lang w:eastAsia="ja-JP"/>
                        </w:rPr>
                        <w:t>:</w:t>
                      </w:r>
                    </w:p>
                    <w:p w14:paraId="2F968937" w14:textId="77777777" w:rsidR="00D1428B" w:rsidRPr="00FD1EDF" w:rsidRDefault="00D1428B" w:rsidP="00D1428B">
                      <w:pPr>
                        <w:numPr>
                          <w:ilvl w:val="0"/>
                          <w:numId w:val="20"/>
                        </w:numPr>
                        <w:overflowPunct/>
                        <w:autoSpaceDE/>
                        <w:autoSpaceDN/>
                        <w:adjustRightInd/>
                        <w:spacing w:after="160" w:line="259" w:lineRule="auto"/>
                        <w:jc w:val="left"/>
                        <w:textAlignment w:val="auto"/>
                      </w:pPr>
                      <w:r w:rsidRPr="00FD1EDF">
                        <w:t>The following beam grouping criteria are considered:</w:t>
                      </w:r>
                    </w:p>
                    <w:p w14:paraId="3D1ACE82" w14:textId="77777777" w:rsidR="00D1428B" w:rsidRPr="00FD1EDF" w:rsidRDefault="00D1428B" w:rsidP="00D1428B">
                      <w:pPr>
                        <w:numPr>
                          <w:ilvl w:val="1"/>
                          <w:numId w:val="19"/>
                        </w:numPr>
                        <w:overflowPunct/>
                        <w:autoSpaceDE/>
                        <w:autoSpaceDN/>
                        <w:adjustRightInd/>
                        <w:spacing w:after="160" w:line="259" w:lineRule="auto"/>
                        <w:jc w:val="left"/>
                        <w:textAlignment w:val="auto"/>
                      </w:pPr>
                      <w:r w:rsidRPr="00FD1EDF">
                        <w:t xml:space="preserve">A1 (based on Alt 1): Different TRP TX beams reported for the same group can be received simultaneously at the UE. </w:t>
                      </w:r>
                    </w:p>
                    <w:p w14:paraId="48712EA9" w14:textId="77777777" w:rsidR="00D1428B" w:rsidRPr="00FD1EDF" w:rsidRDefault="00D1428B" w:rsidP="00D1428B">
                      <w:pPr>
                        <w:numPr>
                          <w:ilvl w:val="1"/>
                          <w:numId w:val="19"/>
                        </w:numPr>
                        <w:overflowPunct/>
                        <w:autoSpaceDE/>
                        <w:autoSpaceDN/>
                        <w:adjustRightInd/>
                        <w:spacing w:after="160" w:line="259" w:lineRule="auto"/>
                        <w:jc w:val="left"/>
                        <w:textAlignment w:val="auto"/>
                      </w:pPr>
                      <w:r w:rsidRPr="00FD1EDF">
                        <w:t>A2 (based on Alt 2): Different TRP TX beams reported for different groups can be received simultaneously at the UE.</w:t>
                      </w:r>
                    </w:p>
                    <w:p w14:paraId="3917F6A4" w14:textId="77777777" w:rsidR="00D1428B" w:rsidRPr="00FD1EDF" w:rsidRDefault="00D1428B" w:rsidP="00D1428B">
                      <w:pPr>
                        <w:numPr>
                          <w:ilvl w:val="1"/>
                          <w:numId w:val="19"/>
                        </w:numPr>
                        <w:overflowPunct/>
                        <w:autoSpaceDE/>
                        <w:autoSpaceDN/>
                        <w:adjustRightInd/>
                        <w:spacing w:after="0"/>
                        <w:jc w:val="left"/>
                        <w:textAlignment w:val="auto"/>
                        <w:rPr>
                          <w:rFonts w:eastAsia="MS Mincho"/>
                          <w:lang w:eastAsia="ja-JP"/>
                        </w:rPr>
                      </w:pPr>
                      <w:r w:rsidRPr="00FD1EDF">
                        <w:t>Down selection of the beam grouping criteria by next meeting</w:t>
                      </w:r>
                    </w:p>
                    <w:p w14:paraId="675DC4F9" w14:textId="77777777" w:rsidR="00D1428B" w:rsidRPr="00FD1EDF" w:rsidRDefault="00D1428B" w:rsidP="00D1428B">
                      <w:pPr>
                        <w:numPr>
                          <w:ilvl w:val="0"/>
                          <w:numId w:val="19"/>
                        </w:numPr>
                        <w:overflowPunct/>
                        <w:autoSpaceDE/>
                        <w:autoSpaceDN/>
                        <w:adjustRightInd/>
                        <w:spacing w:after="160" w:line="259" w:lineRule="auto"/>
                        <w:jc w:val="left"/>
                        <w:textAlignment w:val="auto"/>
                      </w:pPr>
                      <w:r w:rsidRPr="00FD1EDF">
                        <w:t>FFS in addition to the above grouping criteria, the following grouping criteria can be considered</w:t>
                      </w:r>
                    </w:p>
                    <w:p w14:paraId="135A64AB" w14:textId="77777777" w:rsidR="00D1428B" w:rsidRPr="00FD1EDF" w:rsidRDefault="00D1428B" w:rsidP="00D1428B">
                      <w:pPr>
                        <w:numPr>
                          <w:ilvl w:val="1"/>
                          <w:numId w:val="19"/>
                        </w:numPr>
                        <w:overflowPunct/>
                        <w:autoSpaceDE/>
                        <w:autoSpaceDN/>
                        <w:adjustRightInd/>
                        <w:spacing w:after="160" w:line="259" w:lineRule="auto"/>
                        <w:jc w:val="left"/>
                        <w:textAlignment w:val="auto"/>
                      </w:pPr>
                      <w:r w:rsidRPr="00FD1EDF">
                        <w:t>C1 (in combination with A1): Different TRP TX beams reported for different groups cannot be received simultaneously at the UE.</w:t>
                      </w:r>
                    </w:p>
                    <w:p w14:paraId="0DD4B04B" w14:textId="77777777" w:rsidR="00D1428B" w:rsidRPr="00FD1EDF" w:rsidRDefault="00D1428B" w:rsidP="00D1428B">
                      <w:pPr>
                        <w:numPr>
                          <w:ilvl w:val="1"/>
                          <w:numId w:val="19"/>
                        </w:numPr>
                        <w:overflowPunct/>
                        <w:autoSpaceDE/>
                        <w:autoSpaceDN/>
                        <w:adjustRightInd/>
                        <w:spacing w:after="160" w:line="259" w:lineRule="auto"/>
                        <w:jc w:val="left"/>
                        <w:textAlignment w:val="auto"/>
                        <w:rPr>
                          <w:sz w:val="22"/>
                        </w:rPr>
                      </w:pPr>
                      <w:r w:rsidRPr="00FD1EDF">
                        <w:t>C2(in combination with A2): Different TRP TX beams reported for the same group cannot be received simultaneously at the UE</w:t>
                      </w:r>
                      <w:r w:rsidRPr="00FD1EDF">
                        <w:rPr>
                          <w:sz w:val="22"/>
                        </w:rPr>
                        <w:t>.</w:t>
                      </w:r>
                    </w:p>
                    <w:p w14:paraId="337BDB41" w14:textId="77777777" w:rsidR="00D1428B" w:rsidRPr="00FD1EDF" w:rsidRDefault="00D1428B" w:rsidP="00D1428B">
                      <w:r>
                        <w:rPr>
                          <w:highlight w:val="green"/>
                        </w:rPr>
                        <w:t>Agreement 2</w:t>
                      </w:r>
                      <w:r w:rsidRPr="00247F23">
                        <w:rPr>
                          <w:highlight w:val="green"/>
                        </w:rPr>
                        <w:t>:</w:t>
                      </w:r>
                    </w:p>
                    <w:p w14:paraId="31971452" w14:textId="77777777" w:rsidR="00D1428B" w:rsidRPr="00FD1EDF" w:rsidRDefault="00D1428B" w:rsidP="00D1428B">
                      <w:pPr>
                        <w:numPr>
                          <w:ilvl w:val="0"/>
                          <w:numId w:val="20"/>
                        </w:numPr>
                        <w:overflowPunct/>
                        <w:autoSpaceDE/>
                        <w:autoSpaceDN/>
                        <w:adjustRightInd/>
                        <w:spacing w:after="160" w:line="259" w:lineRule="auto"/>
                        <w:jc w:val="left"/>
                        <w:textAlignment w:val="auto"/>
                      </w:pPr>
                      <w:r w:rsidRPr="00FD1EDF">
                        <w:rPr>
                          <w:rFonts w:hint="eastAsia"/>
                        </w:rPr>
                        <w:t>For beam management with beam group reporting the following quantities should be considered</w:t>
                      </w:r>
                    </w:p>
                    <w:p w14:paraId="0BF3611D" w14:textId="77777777" w:rsidR="00D1428B" w:rsidRPr="00FD1EDF" w:rsidRDefault="00D1428B" w:rsidP="00D1428B">
                      <w:pPr>
                        <w:numPr>
                          <w:ilvl w:val="1"/>
                          <w:numId w:val="20"/>
                        </w:numPr>
                        <w:overflowPunct/>
                        <w:autoSpaceDE/>
                        <w:autoSpaceDN/>
                        <w:adjustRightInd/>
                        <w:spacing w:after="160" w:line="259" w:lineRule="auto"/>
                        <w:jc w:val="left"/>
                        <w:textAlignment w:val="auto"/>
                      </w:pPr>
                      <w:r w:rsidRPr="00FD1EDF">
                        <w:rPr>
                          <w:rFonts w:hint="eastAsia"/>
                        </w:rPr>
                        <w:t xml:space="preserve">the </w:t>
                      </w:r>
                      <w:r w:rsidRPr="00FD1EDF">
                        <w:t xml:space="preserve">max </w:t>
                      </w:r>
                      <w:r w:rsidRPr="00FD1EDF">
                        <w:rPr>
                          <w:rFonts w:hint="eastAsia"/>
                        </w:rPr>
                        <w:t xml:space="preserve">number of groups </w:t>
                      </w:r>
                      <w:r w:rsidRPr="00FD1EDF">
                        <w:t>supported in</w:t>
                      </w:r>
                      <w:r w:rsidRPr="00FD1EDF">
                        <w:rPr>
                          <w:rFonts w:hint="eastAsia"/>
                        </w:rPr>
                        <w:t xml:space="preserve"> the spec</w:t>
                      </w:r>
                      <w:r w:rsidRPr="00FD1EDF">
                        <w:t>ification</w:t>
                      </w:r>
                      <w:r w:rsidRPr="00FD1EDF">
                        <w:rPr>
                          <w:rFonts w:hint="eastAsia"/>
                        </w:rPr>
                        <w:t xml:space="preserve"> M</w:t>
                      </w:r>
                      <w:r w:rsidRPr="00FD1EDF">
                        <w:t xml:space="preserve">, </w:t>
                      </w:r>
                    </w:p>
                    <w:p w14:paraId="12E1486A" w14:textId="77777777" w:rsidR="00D1428B" w:rsidRPr="00FD1EDF" w:rsidRDefault="00D1428B" w:rsidP="00D1428B">
                      <w:pPr>
                        <w:numPr>
                          <w:ilvl w:val="1"/>
                          <w:numId w:val="20"/>
                        </w:numPr>
                        <w:overflowPunct/>
                        <w:autoSpaceDE/>
                        <w:autoSpaceDN/>
                        <w:adjustRightInd/>
                        <w:spacing w:after="160" w:line="259" w:lineRule="auto"/>
                        <w:jc w:val="left"/>
                        <w:textAlignment w:val="auto"/>
                      </w:pPr>
                      <w:r w:rsidRPr="00FD1EDF">
                        <w:rPr>
                          <w:rFonts w:hint="eastAsia"/>
                        </w:rPr>
                        <w:t xml:space="preserve">the </w:t>
                      </w:r>
                      <w:r w:rsidRPr="00FD1EDF">
                        <w:t xml:space="preserve">max </w:t>
                      </w:r>
                      <w:r w:rsidRPr="00FD1EDF">
                        <w:rPr>
                          <w:rFonts w:hint="eastAsia"/>
                        </w:rPr>
                        <w:t xml:space="preserve">number of Tx beams per group </w:t>
                      </w:r>
                      <w:r w:rsidRPr="00FD1EDF">
                        <w:t xml:space="preserve">supported in the specification </w:t>
                      </w:r>
                      <w:r w:rsidRPr="00FD1EDF">
                        <w:rPr>
                          <w:rFonts w:hint="eastAsia"/>
                        </w:rPr>
                        <w:t>N</w:t>
                      </w:r>
                    </w:p>
                    <w:p w14:paraId="67A3CACB" w14:textId="77777777" w:rsidR="00D1428B" w:rsidRPr="00FD1EDF" w:rsidRDefault="00D1428B" w:rsidP="00D1428B">
                      <w:pPr>
                        <w:numPr>
                          <w:ilvl w:val="1"/>
                          <w:numId w:val="20"/>
                        </w:numPr>
                        <w:overflowPunct/>
                        <w:autoSpaceDE/>
                        <w:autoSpaceDN/>
                        <w:adjustRightInd/>
                        <w:spacing w:after="160" w:line="259" w:lineRule="auto"/>
                        <w:jc w:val="left"/>
                        <w:textAlignment w:val="auto"/>
                      </w:pPr>
                      <w:r w:rsidRPr="00FD1EDF">
                        <w:t xml:space="preserve">the number of groups to report L </w:t>
                      </w:r>
                    </w:p>
                    <w:p w14:paraId="11A7C81B" w14:textId="77777777" w:rsidR="00D1428B" w:rsidRPr="00FD1EDF" w:rsidRDefault="00D1428B" w:rsidP="00D1428B">
                      <w:pPr>
                        <w:numPr>
                          <w:ilvl w:val="1"/>
                          <w:numId w:val="20"/>
                        </w:numPr>
                        <w:overflowPunct/>
                        <w:autoSpaceDE/>
                        <w:autoSpaceDN/>
                        <w:adjustRightInd/>
                        <w:spacing w:after="160" w:line="259" w:lineRule="auto"/>
                        <w:jc w:val="left"/>
                        <w:textAlignment w:val="auto"/>
                      </w:pPr>
                      <w:r w:rsidRPr="00FD1EDF">
                        <w:t>the number of Tx beams per group in the report</w:t>
                      </w:r>
                      <w:r w:rsidRPr="00FD1EDF">
                        <w:rPr>
                          <w:rFonts w:hint="eastAsia"/>
                        </w:rPr>
                        <w:t xml:space="preserve"> </w:t>
                      </w:r>
                      <w:r w:rsidRPr="00FD1EDF">
                        <w:t>Q</w:t>
                      </w:r>
                    </w:p>
                    <w:p w14:paraId="6CB47F09" w14:textId="77777777" w:rsidR="00D1428B" w:rsidRPr="00FD1EDF" w:rsidRDefault="00D1428B" w:rsidP="00D1428B">
                      <w:pPr>
                        <w:numPr>
                          <w:ilvl w:val="1"/>
                          <w:numId w:val="20"/>
                        </w:numPr>
                        <w:overflowPunct/>
                        <w:autoSpaceDE/>
                        <w:autoSpaceDN/>
                        <w:adjustRightInd/>
                        <w:spacing w:after="160" w:line="259" w:lineRule="auto"/>
                        <w:jc w:val="left"/>
                        <w:textAlignment w:val="auto"/>
                      </w:pPr>
                      <w:r w:rsidRPr="00FD1EDF">
                        <w:t>FFS: UE-specific configuration of the parameters L, Q incorporating UE-capability information</w:t>
                      </w:r>
                    </w:p>
                    <w:p w14:paraId="637A6431" w14:textId="77777777" w:rsidR="00D1428B" w:rsidRPr="00FD1EDF" w:rsidRDefault="00D1428B" w:rsidP="00D1428B">
                      <w:pPr>
                        <w:numPr>
                          <w:ilvl w:val="0"/>
                          <w:numId w:val="20"/>
                        </w:numPr>
                        <w:overflowPunct/>
                        <w:autoSpaceDE/>
                        <w:autoSpaceDN/>
                        <w:adjustRightInd/>
                        <w:spacing w:after="160" w:line="259" w:lineRule="auto"/>
                        <w:jc w:val="left"/>
                        <w:textAlignment w:val="auto"/>
                      </w:pPr>
                      <w:r w:rsidRPr="00FD1EDF">
                        <w:t>L = 1, Q =</w:t>
                      </w:r>
                      <w:r w:rsidRPr="00FD1EDF">
                        <w:rPr>
                          <w:rFonts w:hint="eastAsia"/>
                        </w:rPr>
                        <w:t xml:space="preserve"> 1 are supported which implies no impact to reporting and indication overhead</w:t>
                      </w:r>
                    </w:p>
                    <w:p w14:paraId="6962A99A" w14:textId="77777777" w:rsidR="00D1428B" w:rsidRPr="00FD1EDF" w:rsidRDefault="00D1428B" w:rsidP="00D1428B">
                      <w:pPr>
                        <w:numPr>
                          <w:ilvl w:val="0"/>
                          <w:numId w:val="20"/>
                        </w:numPr>
                        <w:overflowPunct/>
                        <w:autoSpaceDE/>
                        <w:autoSpaceDN/>
                        <w:adjustRightInd/>
                        <w:spacing w:after="160" w:line="259" w:lineRule="auto"/>
                        <w:jc w:val="left"/>
                        <w:textAlignment w:val="auto"/>
                      </w:pPr>
                      <w:r w:rsidRPr="00FD1EDF">
                        <w:rPr>
                          <w:rFonts w:hint="eastAsia"/>
                        </w:rPr>
                        <w:t xml:space="preserve">Companies are encouraged to evaluate performance to determine values of </w:t>
                      </w:r>
                      <w:r w:rsidRPr="00FD1EDF">
                        <w:t>M, N, L, Q</w:t>
                      </w:r>
                      <w:r w:rsidRPr="00FD1EDF">
                        <w:rPr>
                          <w:rFonts w:hint="eastAsia"/>
                        </w:rPr>
                        <w:t xml:space="preserve"> for the first release of NR</w:t>
                      </w:r>
                      <w:r w:rsidRPr="00FD1EDF">
                        <w:t xml:space="preserve"> </w:t>
                      </w:r>
                    </w:p>
                    <w:p w14:paraId="0911782D" w14:textId="77777777" w:rsidR="00D1428B" w:rsidRPr="00A94A0F" w:rsidRDefault="00D1428B" w:rsidP="00D1428B">
                      <w:pPr>
                        <w:numPr>
                          <w:ilvl w:val="1"/>
                          <w:numId w:val="20"/>
                        </w:numPr>
                        <w:overflowPunct/>
                        <w:autoSpaceDE/>
                        <w:autoSpaceDN/>
                        <w:adjustRightInd/>
                        <w:spacing w:after="160" w:line="259" w:lineRule="auto"/>
                        <w:jc w:val="left"/>
                        <w:textAlignment w:val="auto"/>
                      </w:pPr>
                      <w:r w:rsidRPr="00FD1EDF">
                        <w:rPr>
                          <w:rFonts w:hint="eastAsia"/>
                        </w:rPr>
                        <w:t xml:space="preserve">Decide </w:t>
                      </w:r>
                      <w:r w:rsidRPr="00FD1EDF">
                        <w:t xml:space="preserve">on </w:t>
                      </w:r>
                      <w:r w:rsidRPr="00FD1EDF">
                        <w:rPr>
                          <w:rFonts w:hint="eastAsia"/>
                        </w:rPr>
                        <w:t xml:space="preserve">the values of </w:t>
                      </w:r>
                      <w:r w:rsidRPr="00FD1EDF">
                        <w:t xml:space="preserve">L, </w:t>
                      </w:r>
                      <w:r w:rsidRPr="00FD1EDF">
                        <w:rPr>
                          <w:rFonts w:hint="eastAsia"/>
                        </w:rPr>
                        <w:t>M, N</w:t>
                      </w:r>
                      <w:r w:rsidRPr="00FD1EDF">
                        <w:t>, Q</w:t>
                      </w:r>
                      <w:r w:rsidRPr="00FD1EDF">
                        <w:rPr>
                          <w:rFonts w:hint="eastAsia"/>
                        </w:rPr>
                        <w:t xml:space="preserve"> supported by the spec to be able to determine impact on reporting and indication overhead </w:t>
                      </w:r>
                    </w:p>
                  </w:txbxContent>
                </v:textbox>
                <w10:anchorlock/>
              </v:shape>
            </w:pict>
          </mc:Fallback>
        </mc:AlternateContent>
      </w:r>
    </w:p>
    <w:p w14:paraId="00EB90EE" w14:textId="77777777" w:rsidR="00D1428B" w:rsidRDefault="00D1428B" w:rsidP="00D1428B">
      <w:pPr>
        <w:pStyle w:val="BodyText"/>
      </w:pPr>
    </w:p>
    <w:p w14:paraId="45D94F03" w14:textId="78D1263A" w:rsidR="00477768" w:rsidRPr="00CE0424" w:rsidRDefault="008D028E" w:rsidP="00BF7642">
      <w:pPr>
        <w:pStyle w:val="BodyText"/>
      </w:pPr>
      <w:r>
        <w:lastRenderedPageBreak/>
        <w:t xml:space="preserve">In </w:t>
      </w:r>
      <w:r w:rsidR="00B21840">
        <w:fldChar w:fldCharType="begin"/>
      </w:r>
      <w:r w:rsidR="00B21840">
        <w:instrText xml:space="preserve"> REF _Ref481680672 \r \h </w:instrText>
      </w:r>
      <w:r w:rsidR="00B21840">
        <w:fldChar w:fldCharType="separate"/>
      </w:r>
      <w:r w:rsidR="00B21840">
        <w:t>[2]</w:t>
      </w:r>
      <w:r w:rsidR="00B21840">
        <w:fldChar w:fldCharType="end"/>
      </w:r>
      <w:r w:rsidR="008510CF">
        <w:t xml:space="preserve">, </w:t>
      </w:r>
      <w:r w:rsidR="008510CF">
        <w:fldChar w:fldCharType="begin"/>
      </w:r>
      <w:r w:rsidR="008510CF">
        <w:instrText xml:space="preserve"> REF _Ref490067110 \r \h </w:instrText>
      </w:r>
      <w:r w:rsidR="008510CF">
        <w:fldChar w:fldCharType="separate"/>
      </w:r>
      <w:r w:rsidR="008510CF">
        <w:t>[3]</w:t>
      </w:r>
      <w:r w:rsidR="008510CF">
        <w:fldChar w:fldCharType="end"/>
      </w:r>
      <w:r w:rsidR="00DA5396">
        <w:t>, beam grouping for beam management was analyzed by means of link and system simulations.</w:t>
      </w:r>
      <w:r w:rsidR="001C71AA">
        <w:t xml:space="preserve"> In </w:t>
      </w:r>
      <w:r w:rsidR="001C71AA">
        <w:fldChar w:fldCharType="begin"/>
      </w:r>
      <w:r w:rsidR="001C71AA">
        <w:instrText xml:space="preserve"> REF _Ref490129182 \r \h </w:instrText>
      </w:r>
      <w:r w:rsidR="001C71AA">
        <w:fldChar w:fldCharType="separate"/>
      </w:r>
      <w:r w:rsidR="001C71AA">
        <w:t>[4]</w:t>
      </w:r>
      <w:r w:rsidR="001C71AA">
        <w:fldChar w:fldCharType="end"/>
      </w:r>
      <w:r w:rsidR="001C71AA">
        <w:t>,</w:t>
      </w:r>
      <w:r w:rsidR="001C71AA" w:rsidRPr="001C71AA">
        <w:t xml:space="preserve"> </w:t>
      </w:r>
      <w:r w:rsidR="001C71AA">
        <w:t xml:space="preserve">the different beam grouping alternatives and open issues related to those were discussed. </w:t>
      </w:r>
      <w:r w:rsidR="00BF7642">
        <w:t>In this contrib</w:t>
      </w:r>
      <w:r w:rsidR="00DA5396">
        <w:t>ution, we provide further analysis of group-based and non</w:t>
      </w:r>
      <w:r w:rsidR="00EE1A2E">
        <w:t>-</w:t>
      </w:r>
      <w:r w:rsidR="008510CF">
        <w:t>group-based beam management</w:t>
      </w:r>
      <w:r w:rsidR="00DA5396">
        <w:t>.</w:t>
      </w:r>
    </w:p>
    <w:p w14:paraId="3CB8F8BC" w14:textId="0AB47E61" w:rsidR="004000E8" w:rsidRDefault="00B76B12" w:rsidP="00CE0424">
      <w:pPr>
        <w:pStyle w:val="Heading1"/>
      </w:pPr>
      <w:r>
        <w:t>Simulation results</w:t>
      </w:r>
    </w:p>
    <w:p w14:paraId="44858791" w14:textId="436B69C9" w:rsidR="007F5B66" w:rsidRDefault="00025CA6" w:rsidP="007F5B66">
      <w:pPr>
        <w:rPr>
          <w:lang w:val="en-US"/>
        </w:rPr>
      </w:pPr>
      <w:r>
        <w:t xml:space="preserve">In this contribution we evaluate the performance of </w:t>
      </w:r>
      <w:r w:rsidR="00CF4C58">
        <w:t>three</w:t>
      </w:r>
      <w:r>
        <w:t xml:space="preserve"> different beam management approaches: </w:t>
      </w:r>
      <w:r w:rsidR="00CF4C58">
        <w:t>two</w:t>
      </w:r>
      <w:r>
        <w:t xml:space="preserve"> grouping-based and one that does not rely on beam groupin</w:t>
      </w:r>
      <w:r w:rsidR="00A92959">
        <w:t>g</w:t>
      </w:r>
      <w:r>
        <w:t xml:space="preserve">. </w:t>
      </w:r>
      <w:r w:rsidR="007F5B66">
        <w:rPr>
          <w:lang w:val="en-US"/>
        </w:rPr>
        <w:t xml:space="preserve">The approaches are evaluated for two different </w:t>
      </w:r>
      <w:r w:rsidR="00CF4C58">
        <w:rPr>
          <w:lang w:val="en-US"/>
        </w:rPr>
        <w:t>scenarios: t</w:t>
      </w:r>
      <w:r w:rsidR="007F5B66">
        <w:rPr>
          <w:lang w:val="en-US"/>
        </w:rPr>
        <w:t xml:space="preserve">he Indoor hotspot (InH) and Urban macro (UMa) scenarios as defined in the NR MIMO calibration campaign </w:t>
      </w:r>
      <w:r w:rsidR="007F5B66">
        <w:rPr>
          <w:lang w:val="en-US"/>
        </w:rPr>
        <w:fldChar w:fldCharType="begin"/>
      </w:r>
      <w:r w:rsidR="007F5B66">
        <w:rPr>
          <w:lang w:val="en-US"/>
        </w:rPr>
        <w:instrText xml:space="preserve"> REF _Ref481697463 \r \h </w:instrText>
      </w:r>
      <w:r w:rsidR="007F5B66">
        <w:rPr>
          <w:lang w:val="en-US"/>
        </w:rPr>
      </w:r>
      <w:r w:rsidR="007F5B66">
        <w:rPr>
          <w:lang w:val="en-US"/>
        </w:rPr>
        <w:fldChar w:fldCharType="separate"/>
      </w:r>
      <w:r w:rsidR="007F5B66">
        <w:rPr>
          <w:lang w:val="en-US"/>
        </w:rPr>
        <w:t>[3]</w:t>
      </w:r>
      <w:r w:rsidR="007F5B66">
        <w:rPr>
          <w:lang w:val="en-US"/>
        </w:rPr>
        <w:fldChar w:fldCharType="end"/>
      </w:r>
      <w:r w:rsidR="00CF4C58">
        <w:rPr>
          <w:lang w:val="en-US"/>
        </w:rPr>
        <w:t xml:space="preserve">. </w:t>
      </w:r>
      <w:r w:rsidR="007F5B66">
        <w:rPr>
          <w:lang w:val="en-US"/>
        </w:rPr>
        <w:t xml:space="preserve"> </w:t>
      </w:r>
      <w:r w:rsidR="00CF4C58">
        <w:rPr>
          <w:lang w:val="en-US"/>
        </w:rPr>
        <w:t>The TRPs are equipped with four panels</w:t>
      </w:r>
      <w:r w:rsidR="0033268C">
        <w:rPr>
          <w:rStyle w:val="FootnoteReference"/>
          <w:lang w:val="en-US"/>
        </w:rPr>
        <w:footnoteReference w:id="1"/>
      </w:r>
      <w:r w:rsidR="00CF4C58">
        <w:rPr>
          <w:lang w:val="en-US"/>
        </w:rPr>
        <w:t xml:space="preserve"> according to (M,N,P,Mg,Ng) = (4,8,2,2,2) and the</w:t>
      </w:r>
      <w:r w:rsidR="007F5B66">
        <w:rPr>
          <w:lang w:val="en-US"/>
        </w:rPr>
        <w:t xml:space="preserve"> UEs </w:t>
      </w:r>
      <w:r w:rsidR="00CF4C58">
        <w:rPr>
          <w:lang w:val="en-US"/>
        </w:rPr>
        <w:t>have</w:t>
      </w:r>
      <w:r w:rsidR="007F5B66">
        <w:rPr>
          <w:lang w:val="en-US"/>
        </w:rPr>
        <w:t xml:space="preserve"> two back-to-back panels </w:t>
      </w:r>
      <w:r w:rsidR="00CF4C58">
        <w:rPr>
          <w:lang w:val="en-US"/>
        </w:rPr>
        <w:t>with</w:t>
      </w:r>
      <w:r w:rsidR="007F5B66">
        <w:rPr>
          <w:lang w:val="en-US"/>
        </w:rPr>
        <w:t xml:space="preserve"> (M, N, P) = (2, 4, 2). </w:t>
      </w:r>
      <w:r w:rsidR="007F18C5">
        <w:rPr>
          <w:lang w:val="en-US"/>
        </w:rPr>
        <w:t>Only one resource block is simulated.</w:t>
      </w:r>
    </w:p>
    <w:p w14:paraId="0FB3B3FB" w14:textId="4973B329" w:rsidR="00025CA6" w:rsidRDefault="007F5B66" w:rsidP="00EB5381">
      <w:r>
        <w:t>In more detail,</w:t>
      </w:r>
      <w:r w:rsidR="00A92959">
        <w:t xml:space="preserve"> the </w:t>
      </w:r>
      <w:r w:rsidR="00445B14">
        <w:t>three</w:t>
      </w:r>
      <w:r w:rsidR="00A92959">
        <w:t xml:space="preserve"> approaches are as follows:</w:t>
      </w:r>
    </w:p>
    <w:p w14:paraId="177E0A98" w14:textId="283A8AA8" w:rsidR="00EB5381" w:rsidRDefault="009035F5" w:rsidP="00F16983">
      <w:pPr>
        <w:pStyle w:val="ListParagraph"/>
        <w:numPr>
          <w:ilvl w:val="0"/>
          <w:numId w:val="17"/>
        </w:numPr>
        <w:spacing w:after="0"/>
      </w:pPr>
      <w:r>
        <w:rPr>
          <w:i/>
        </w:rPr>
        <w:t>No grouping</w:t>
      </w:r>
      <w:r w:rsidR="00A92959">
        <w:t>.</w:t>
      </w:r>
      <w:r w:rsidR="00B37802">
        <w:t xml:space="preserve"> </w:t>
      </w:r>
      <w:r w:rsidR="007F5B66">
        <w:t>The two best</w:t>
      </w:r>
      <w:r w:rsidR="00F16983">
        <w:t xml:space="preserve"> – and </w:t>
      </w:r>
      <w:r w:rsidR="00B37802" w:rsidRPr="00B37802">
        <w:t>distinct</w:t>
      </w:r>
      <w:r w:rsidR="00F16983">
        <w:t xml:space="preserve"> – TRP </w:t>
      </w:r>
      <w:r w:rsidR="00B37802" w:rsidRPr="00B37802">
        <w:t xml:space="preserve">TX beams are reported </w:t>
      </w:r>
      <w:r w:rsidR="007F5B66">
        <w:t xml:space="preserve">by the UE. </w:t>
      </w:r>
      <w:r w:rsidR="007F5B66" w:rsidRPr="005B6A8B">
        <w:rPr>
          <w:lang w:val="en-US"/>
        </w:rPr>
        <w:t xml:space="preserve">“Best” here means the </w:t>
      </w:r>
      <w:r w:rsidR="00F16983" w:rsidRPr="005B6A8B">
        <w:rPr>
          <w:lang w:val="en-US"/>
        </w:rPr>
        <w:t>TX beam</w:t>
      </w:r>
      <w:r w:rsidR="003B0614">
        <w:rPr>
          <w:lang w:val="en-US"/>
        </w:rPr>
        <w:t>s</w:t>
      </w:r>
      <w:r w:rsidR="00F16983" w:rsidRPr="005B6A8B">
        <w:rPr>
          <w:lang w:val="en-US"/>
        </w:rPr>
        <w:t xml:space="preserve"> corresponding to the </w:t>
      </w:r>
      <w:r w:rsidR="005B6A8B" w:rsidRPr="005B6A8B">
        <w:rPr>
          <w:lang w:val="en-US"/>
        </w:rPr>
        <w:t xml:space="preserve">TX-RX </w:t>
      </w:r>
      <w:r w:rsidR="00E40DF1" w:rsidRPr="005B6A8B">
        <w:rPr>
          <w:lang w:val="en-US"/>
        </w:rPr>
        <w:t>beam pair</w:t>
      </w:r>
      <w:r w:rsidR="003B0614">
        <w:rPr>
          <w:lang w:val="en-US"/>
        </w:rPr>
        <w:t>s</w:t>
      </w:r>
      <w:r w:rsidR="007F5B66" w:rsidRPr="005B6A8B">
        <w:rPr>
          <w:lang w:val="en-US"/>
        </w:rPr>
        <w:t xml:space="preserve"> with </w:t>
      </w:r>
      <w:r w:rsidR="003B0614">
        <w:rPr>
          <w:lang w:val="en-US"/>
        </w:rPr>
        <w:t xml:space="preserve">the two </w:t>
      </w:r>
      <w:r w:rsidR="00F16983" w:rsidRPr="005B6A8B">
        <w:rPr>
          <w:lang w:val="en-US"/>
        </w:rPr>
        <w:t>largest</w:t>
      </w:r>
      <w:r w:rsidR="007F5B66" w:rsidRPr="005B6A8B">
        <w:rPr>
          <w:lang w:val="en-US"/>
        </w:rPr>
        <w:t xml:space="preserve"> RSRP</w:t>
      </w:r>
      <w:r w:rsidR="003B0614">
        <w:rPr>
          <w:lang w:val="en-US"/>
        </w:rPr>
        <w:t>s</w:t>
      </w:r>
      <w:r w:rsidR="007F5B66" w:rsidRPr="005B6A8B">
        <w:rPr>
          <w:lang w:val="en-US"/>
        </w:rPr>
        <w:t>.</w:t>
      </w:r>
      <w:r w:rsidR="00A22C03" w:rsidRPr="005B6A8B">
        <w:rPr>
          <w:lang w:val="en-US"/>
        </w:rPr>
        <w:t xml:space="preserve"> </w:t>
      </w:r>
      <w:r w:rsidR="005B6A8B">
        <w:rPr>
          <w:lang w:val="en-US"/>
        </w:rPr>
        <w:t xml:space="preserve">Note that in this approach, the two </w:t>
      </w:r>
      <w:r w:rsidR="004F51BB">
        <w:rPr>
          <w:lang w:val="en-US"/>
        </w:rPr>
        <w:t xml:space="preserve">reported </w:t>
      </w:r>
      <w:r w:rsidR="005B6A8B">
        <w:rPr>
          <w:lang w:val="en-US"/>
        </w:rPr>
        <w:t>TX beams do not necessarily correspond to two different RX beams</w:t>
      </w:r>
      <w:r w:rsidR="003B0614">
        <w:rPr>
          <w:lang w:val="en-US"/>
        </w:rPr>
        <w:t xml:space="preserve"> and/or panels</w:t>
      </w:r>
      <w:r w:rsidR="005B6A8B">
        <w:rPr>
          <w:lang w:val="en-US"/>
        </w:rPr>
        <w:t xml:space="preserve">. </w:t>
      </w:r>
      <w:r w:rsidR="00A22C03" w:rsidRPr="005B6A8B">
        <w:rPr>
          <w:lang w:val="en-US"/>
        </w:rPr>
        <w:t xml:space="preserve">In the beam sweeping, all </w:t>
      </w:r>
      <w:r w:rsidR="00F16983" w:rsidRPr="005B6A8B">
        <w:rPr>
          <w:lang w:val="en-US"/>
        </w:rPr>
        <w:t>TX-RX beam pairs</w:t>
      </w:r>
      <w:r w:rsidR="00A22C03" w:rsidRPr="005B6A8B">
        <w:rPr>
          <w:lang w:val="en-US"/>
        </w:rPr>
        <w:t xml:space="preserve"> are evaluated. At the TRP, a single panel and a single polarization is used in the beam </w:t>
      </w:r>
      <w:r w:rsidR="00F16983" w:rsidRPr="005B6A8B">
        <w:rPr>
          <w:lang w:val="en-US"/>
        </w:rPr>
        <w:t>sweep,</w:t>
      </w:r>
      <w:r w:rsidR="00A22C03" w:rsidRPr="005B6A8B">
        <w:rPr>
          <w:lang w:val="en-US"/>
        </w:rPr>
        <w:t xml:space="preserve"> but in the data transmission </w:t>
      </w:r>
      <w:r w:rsidR="006427C5">
        <w:t>all</w:t>
      </w:r>
      <w:r w:rsidR="00A22C03">
        <w:t xml:space="preserve"> four TRP panels and both polarizations</w:t>
      </w:r>
      <w:r w:rsidR="00F16983">
        <w:t xml:space="preserve"> </w:t>
      </w:r>
      <w:r w:rsidR="005B6A8B">
        <w:t>in each</w:t>
      </w:r>
      <w:r w:rsidR="00F16983">
        <w:t xml:space="preserve"> panel</w:t>
      </w:r>
      <w:r w:rsidR="00A22C03">
        <w:t xml:space="preserve"> are used. </w:t>
      </w:r>
      <w:r w:rsidR="003B0614">
        <w:t>During data transmission, t</w:t>
      </w:r>
      <w:r w:rsidR="00B37802" w:rsidRPr="00B37802">
        <w:t xml:space="preserve">he </w:t>
      </w:r>
      <w:r w:rsidR="003B0614">
        <w:t xml:space="preserve">first </w:t>
      </w:r>
      <w:r w:rsidR="00F16983">
        <w:t xml:space="preserve">TX beam corresponding to the </w:t>
      </w:r>
      <w:r w:rsidR="00E40DF1">
        <w:t xml:space="preserve">best </w:t>
      </w:r>
      <w:r w:rsidR="00A43492">
        <w:t xml:space="preserve">beam pair </w:t>
      </w:r>
      <w:r w:rsidR="00A22C03">
        <w:t>is used in two TRP panels next to each other horizontally</w:t>
      </w:r>
      <w:r w:rsidR="00B37802" w:rsidRPr="00B37802">
        <w:t xml:space="preserve">. </w:t>
      </w:r>
      <w:r w:rsidR="00F16983">
        <w:t xml:space="preserve">The </w:t>
      </w:r>
      <w:r w:rsidR="003B0614">
        <w:t xml:space="preserve">second </w:t>
      </w:r>
      <w:r w:rsidR="00F16983">
        <w:t xml:space="preserve">TX beam corresponding to the second-best beam pair (distinct from the first TX beam) </w:t>
      </w:r>
      <w:r w:rsidR="00A22C03" w:rsidRPr="005B6A8B">
        <w:rPr>
          <w:lang w:val="en-US" w:eastAsia="en-US"/>
        </w:rPr>
        <w:t xml:space="preserve">is used in the other two TRP panels. </w:t>
      </w:r>
      <w:r w:rsidR="003D47B2" w:rsidRPr="005B6A8B">
        <w:rPr>
          <w:lang w:val="en-US" w:eastAsia="en-US"/>
        </w:rPr>
        <w:t xml:space="preserve">All </w:t>
      </w:r>
      <w:r w:rsidR="003B0614">
        <w:rPr>
          <w:lang w:val="en-US" w:eastAsia="en-US"/>
        </w:rPr>
        <w:t xml:space="preserve">RX </w:t>
      </w:r>
      <w:r w:rsidR="003D47B2" w:rsidRPr="005B6A8B">
        <w:rPr>
          <w:lang w:val="en-US" w:eastAsia="en-US"/>
        </w:rPr>
        <w:t>panels are used</w:t>
      </w:r>
      <w:r w:rsidR="006D7758" w:rsidRPr="005B6A8B">
        <w:rPr>
          <w:lang w:val="en-US" w:eastAsia="en-US"/>
        </w:rPr>
        <w:t xml:space="preserve"> </w:t>
      </w:r>
      <w:r w:rsidR="003B0614">
        <w:rPr>
          <w:lang w:val="en-US" w:eastAsia="en-US"/>
        </w:rPr>
        <w:t>at</w:t>
      </w:r>
      <w:r w:rsidR="006D7758" w:rsidRPr="005B6A8B">
        <w:rPr>
          <w:lang w:val="en-US" w:eastAsia="en-US"/>
        </w:rPr>
        <w:t xml:space="preserve"> the UE</w:t>
      </w:r>
      <w:r w:rsidR="0011325E" w:rsidRPr="005B6A8B">
        <w:rPr>
          <w:lang w:val="en-US" w:eastAsia="en-US"/>
        </w:rPr>
        <w:t xml:space="preserve"> </w:t>
      </w:r>
      <w:r w:rsidR="005B6A8B" w:rsidRPr="005B6A8B">
        <w:rPr>
          <w:lang w:val="en-US" w:eastAsia="en-US"/>
        </w:rPr>
        <w:t xml:space="preserve">during data </w:t>
      </w:r>
      <w:r w:rsidR="007B20A5" w:rsidRPr="005B6A8B">
        <w:rPr>
          <w:lang w:val="en-US" w:eastAsia="en-US"/>
        </w:rPr>
        <w:t>reception</w:t>
      </w:r>
      <w:r w:rsidR="005B6A8B" w:rsidRPr="005B6A8B">
        <w:rPr>
          <w:lang w:val="en-US" w:eastAsia="en-US"/>
        </w:rPr>
        <w:t xml:space="preserve">. </w:t>
      </w:r>
      <w:r w:rsidR="005B6A8B">
        <w:rPr>
          <w:lang w:val="en-US" w:eastAsia="en-US"/>
        </w:rPr>
        <w:t>E</w:t>
      </w:r>
      <w:r w:rsidR="003D47B2" w:rsidRPr="005B6A8B">
        <w:rPr>
          <w:lang w:val="en-US" w:eastAsia="en-US"/>
        </w:rPr>
        <w:t>ach panel</w:t>
      </w:r>
      <w:r w:rsidR="005B6A8B">
        <w:rPr>
          <w:lang w:val="en-US" w:eastAsia="en-US"/>
        </w:rPr>
        <w:t xml:space="preserve"> uses the </w:t>
      </w:r>
      <w:r w:rsidR="006D7758" w:rsidRPr="005B6A8B">
        <w:rPr>
          <w:lang w:val="en-US" w:eastAsia="en-US"/>
        </w:rPr>
        <w:t xml:space="preserve">RX beam that is best, </w:t>
      </w:r>
      <w:r w:rsidR="003D47B2" w:rsidRPr="005B6A8B">
        <w:rPr>
          <w:lang w:val="en-US" w:eastAsia="en-US"/>
        </w:rPr>
        <w:t xml:space="preserve">considering only </w:t>
      </w:r>
      <w:r w:rsidR="00E40DF1" w:rsidRPr="005B6A8B">
        <w:rPr>
          <w:lang w:val="en-US"/>
        </w:rPr>
        <w:t>beam pair</w:t>
      </w:r>
      <w:r w:rsidR="003D47B2" w:rsidRPr="005B6A8B">
        <w:rPr>
          <w:lang w:val="en-US" w:eastAsia="en-US"/>
        </w:rPr>
        <w:t>s</w:t>
      </w:r>
      <w:r w:rsidR="006D7758" w:rsidRPr="005B6A8B">
        <w:rPr>
          <w:lang w:val="en-US" w:eastAsia="en-US"/>
        </w:rPr>
        <w:t xml:space="preserve"> </w:t>
      </w:r>
      <w:r w:rsidR="0011325E" w:rsidRPr="005B6A8B">
        <w:rPr>
          <w:lang w:val="en-US" w:eastAsia="en-US"/>
        </w:rPr>
        <w:t>corresponding to</w:t>
      </w:r>
      <w:r w:rsidR="006D7758" w:rsidRPr="005B6A8B">
        <w:rPr>
          <w:lang w:val="en-US" w:eastAsia="en-US"/>
        </w:rPr>
        <w:t xml:space="preserve"> the two </w:t>
      </w:r>
      <w:r w:rsidR="005B6A8B">
        <w:rPr>
          <w:lang w:val="en-US" w:eastAsia="en-US"/>
        </w:rPr>
        <w:t>reported</w:t>
      </w:r>
      <w:r w:rsidR="006D7758" w:rsidRPr="005B6A8B">
        <w:rPr>
          <w:lang w:val="en-US" w:eastAsia="en-US"/>
        </w:rPr>
        <w:t xml:space="preserve"> TX beams</w:t>
      </w:r>
      <w:r w:rsidR="003D47B2" w:rsidRPr="005B6A8B">
        <w:rPr>
          <w:lang w:val="en-US"/>
        </w:rPr>
        <w:t>.</w:t>
      </w:r>
      <w:r w:rsidR="004A0339" w:rsidRPr="005B6A8B">
        <w:rPr>
          <w:lang w:val="en-US"/>
        </w:rPr>
        <w:t xml:space="preserve"> </w:t>
      </w:r>
    </w:p>
    <w:p w14:paraId="5B81CC2D" w14:textId="1173DACA" w:rsidR="00EB5381" w:rsidRDefault="00B37802" w:rsidP="00EB5381">
      <w:pPr>
        <w:pStyle w:val="ListParagraph"/>
        <w:numPr>
          <w:ilvl w:val="0"/>
          <w:numId w:val="17"/>
        </w:numPr>
        <w:spacing w:after="0"/>
      </w:pPr>
      <w:r w:rsidRPr="00A92959">
        <w:rPr>
          <w:i/>
        </w:rPr>
        <w:t>Grouping</w:t>
      </w:r>
      <w:r w:rsidR="009035F5">
        <w:rPr>
          <w:i/>
        </w:rPr>
        <w:t xml:space="preserve">, RSRP </w:t>
      </w:r>
      <w:r w:rsidRPr="00A92959">
        <w:rPr>
          <w:i/>
        </w:rPr>
        <w:t>based</w:t>
      </w:r>
      <w:r w:rsidR="00A92959">
        <w:t>.</w:t>
      </w:r>
      <w:r w:rsidR="005B6A8B">
        <w:t xml:space="preserve"> Like in beam-based reporting, two TRP TX beams are reported by the UE</w:t>
      </w:r>
      <w:r w:rsidR="004F51BB">
        <w:t>. T</w:t>
      </w:r>
      <w:r w:rsidR="005B6A8B">
        <w:t>he first T</w:t>
      </w:r>
      <w:r w:rsidR="004F51BB">
        <w:t>X beam corresponds to the TX-RX beam pair with the largest RSRP. However, unlike beam-based reporting, the second TX beam corresponds to the next best beam pair under the constraint that the corresponding RX panel is different than that of the first beam pair. Note that in this approach, the two reported TX beams ar</w:t>
      </w:r>
      <w:r w:rsidR="00CB421D">
        <w:t xml:space="preserve">e not necessarily distinct. One can think of this approach </w:t>
      </w:r>
      <w:r w:rsidR="003B0614">
        <w:t xml:space="preserve">as </w:t>
      </w:r>
      <w:r w:rsidR="00CB421D">
        <w:t>either as A</w:t>
      </w:r>
      <w:r w:rsidR="00E278AA">
        <w:t>1</w:t>
      </w:r>
      <w:r w:rsidR="00CB421D">
        <w:t xml:space="preserve"> or </w:t>
      </w:r>
      <w:r w:rsidR="00E278AA">
        <w:t>A</w:t>
      </w:r>
      <w:r w:rsidR="00CB421D">
        <w:t>2</w:t>
      </w:r>
      <w:r w:rsidR="003B0614">
        <w:t>. I</w:t>
      </w:r>
      <w:r w:rsidR="00CB421D">
        <w:t>n the former, the first and 2</w:t>
      </w:r>
      <w:r w:rsidR="00CB421D" w:rsidRPr="00CB421D">
        <w:rPr>
          <w:vertAlign w:val="superscript"/>
        </w:rPr>
        <w:t>nd</w:t>
      </w:r>
      <w:r w:rsidR="00CB421D">
        <w:t xml:space="preserve"> reported TX beam indices are contained in a single group. In the latter, the </w:t>
      </w:r>
      <w:r w:rsidR="003B0614">
        <w:t>first and 2</w:t>
      </w:r>
      <w:r w:rsidR="003B0614" w:rsidRPr="003B0614">
        <w:rPr>
          <w:vertAlign w:val="superscript"/>
        </w:rPr>
        <w:t>nd</w:t>
      </w:r>
      <w:r w:rsidR="003B0614">
        <w:t xml:space="preserve"> </w:t>
      </w:r>
      <w:r w:rsidR="00CB421D">
        <w:t xml:space="preserve">reported TX beam indices are contained in two different groups. The feedback overhead in </w:t>
      </w:r>
      <w:r w:rsidR="008D1B74">
        <w:t>either case</w:t>
      </w:r>
      <w:r w:rsidR="00CB421D">
        <w:t xml:space="preserve"> is the same. Other than t</w:t>
      </w:r>
      <w:r w:rsidR="008D1B74">
        <w:t>he constrained beam selection and corresponding grouping of beams</w:t>
      </w:r>
      <w:r w:rsidR="00CB421D">
        <w:t>, the other procedures (beam sweeping, mapping of TX beams to the 4 TX panels, and the use of all RX panels during data reception) are the same as for the beam-based approach.</w:t>
      </w:r>
    </w:p>
    <w:p w14:paraId="61BB9B1D" w14:textId="242393F7" w:rsidR="001C0386" w:rsidRDefault="009035F5" w:rsidP="00EB5381">
      <w:pPr>
        <w:pStyle w:val="ListParagraph"/>
        <w:numPr>
          <w:ilvl w:val="0"/>
          <w:numId w:val="17"/>
        </w:numPr>
        <w:spacing w:after="0"/>
      </w:pPr>
      <w:r w:rsidRPr="00E36BA2">
        <w:rPr>
          <w:i/>
        </w:rPr>
        <w:t>Grouping, capacity based</w:t>
      </w:r>
      <w:r>
        <w:t xml:space="preserve">. </w:t>
      </w:r>
      <w:r w:rsidR="001C0386">
        <w:t>In this case, the groups are not constructed based on RSRP but on</w:t>
      </w:r>
      <w:r w:rsidR="00E7323C">
        <w:t xml:space="preserve"> a</w:t>
      </w:r>
      <w:r w:rsidR="001C0386">
        <w:t xml:space="preserve"> capacity</w:t>
      </w:r>
      <w:r w:rsidR="00E7323C">
        <w:t xml:space="preserve"> metric, This approach was not considered in our previous contribution </w:t>
      </w:r>
      <w:r w:rsidR="00E7323C">
        <w:fldChar w:fldCharType="begin"/>
      </w:r>
      <w:r w:rsidR="00E7323C">
        <w:instrText xml:space="preserve"> REF _Ref490067110 \r \h </w:instrText>
      </w:r>
      <w:r w:rsidR="00E7323C">
        <w:fldChar w:fldCharType="separate"/>
      </w:r>
      <w:r w:rsidR="00E7323C">
        <w:t>[3]</w:t>
      </w:r>
      <w:r w:rsidR="00E7323C">
        <w:fldChar w:fldCharType="end"/>
      </w:r>
      <w:r w:rsidR="001C71AA">
        <w:t>.</w:t>
      </w:r>
      <w:r w:rsidR="001C0386">
        <w:t xml:space="preserve"> The TX-RX beam candidates are created by taking all possible combinations of beams from TRP panel 1, TRP panel 2, UE panel 1, and UE panel 2 for one polarization</w:t>
      </w:r>
      <w:r w:rsidR="00E36BA2">
        <w:t>.</w:t>
      </w:r>
      <w:r w:rsidR="00254DEE">
        <w:t xml:space="preserve"> </w:t>
      </w:r>
      <w:r w:rsidR="001C0386">
        <w:t>For each candidate</w:t>
      </w:r>
      <w:r w:rsidR="00445B14">
        <w:t xml:space="preserve"> beam combination</w:t>
      </w:r>
      <w:r w:rsidR="001C0386">
        <w:t xml:space="preserve">, Shannon capacity for the corresponding 2x2 channel matrix is calculated assuming waterfilling and </w:t>
      </w:r>
      <w:r w:rsidR="001C0386" w:rsidRPr="00E36BA2">
        <w:rPr>
          <w:lang w:val="en-US"/>
        </w:rPr>
        <w:t>perfect channel state information at both the transmitter and receiver</w:t>
      </w:r>
      <w:r w:rsidR="001C4CC9">
        <w:rPr>
          <w:lang w:val="en-US"/>
        </w:rPr>
        <w:t xml:space="preserve">. </w:t>
      </w:r>
      <w:r w:rsidR="0084516E">
        <w:rPr>
          <w:lang w:val="en-US"/>
        </w:rPr>
        <w:t>The beam combination with highest capacity is selected for data transmission and the TX beams are mapped</w:t>
      </w:r>
      <w:r w:rsidR="001C4CC9">
        <w:t xml:space="preserve"> to panels in</w:t>
      </w:r>
      <w:r w:rsidR="001627AB">
        <w:t xml:space="preserve"> the same way as in</w:t>
      </w:r>
      <w:r w:rsidR="001C4CC9">
        <w:t xml:space="preserve"> the two previous approaches. Note that the capacity based beam selection is based on two TX panels and one polarization, while the data transmission is performed using all four panels and both polarizations.</w:t>
      </w:r>
      <w:r w:rsidR="00445B14">
        <w:t xml:space="preserve"> Constructing </w:t>
      </w:r>
      <w:r w:rsidR="009426A7">
        <w:t xml:space="preserve">beam </w:t>
      </w:r>
      <w:r w:rsidR="00C66182">
        <w:t>sets</w:t>
      </w:r>
      <w:r w:rsidR="00C66182">
        <w:t xml:space="preserve"> </w:t>
      </w:r>
      <w:r w:rsidR="00445B14">
        <w:t>that are optimized for spatial multiplexing is sometimes claimed as a benefit of A</w:t>
      </w:r>
      <w:r w:rsidR="00E278AA">
        <w:t>1</w:t>
      </w:r>
      <w:r w:rsidR="00445B14">
        <w:t>.</w:t>
      </w:r>
    </w:p>
    <w:p w14:paraId="48AB4793" w14:textId="2EBA8CF6" w:rsidR="008D1B74" w:rsidRPr="0011325E" w:rsidRDefault="008D1B74" w:rsidP="00445B14">
      <w:pPr>
        <w:spacing w:after="0"/>
      </w:pPr>
    </w:p>
    <w:p w14:paraId="3078E1BE" w14:textId="1D2555CC" w:rsidR="00561F45" w:rsidRDefault="00561F45" w:rsidP="00EB5381">
      <w:pPr>
        <w:rPr>
          <w:lang w:val="en-US"/>
        </w:rPr>
      </w:pPr>
      <w:r>
        <w:rPr>
          <w:lang w:val="en-US"/>
        </w:rPr>
        <w:t xml:space="preserve">Spectral efficiency </w:t>
      </w:r>
      <w:r w:rsidR="005D6BE3">
        <w:rPr>
          <w:lang w:val="en-US"/>
        </w:rPr>
        <w:t xml:space="preserve">for the data transmission </w:t>
      </w:r>
      <w:r>
        <w:rPr>
          <w:lang w:val="en-US"/>
        </w:rPr>
        <w:t>is</w:t>
      </w:r>
      <w:r w:rsidR="005D6BE3">
        <w:rPr>
          <w:lang w:val="en-US"/>
        </w:rPr>
        <w:t xml:space="preserve"> then</w:t>
      </w:r>
      <w:r>
        <w:rPr>
          <w:lang w:val="en-US"/>
        </w:rPr>
        <w:t xml:space="preserve"> estimated by calculating channel capacity assuming perfect channel knowledge at both the transmitter and receiver</w:t>
      </w:r>
      <w:r w:rsidR="004A0339">
        <w:rPr>
          <w:lang w:val="en-US"/>
        </w:rPr>
        <w:t>, given the analog beams obtained from the beam management procedure</w:t>
      </w:r>
      <w:r>
        <w:rPr>
          <w:lang w:val="en-US"/>
        </w:rPr>
        <w:t xml:space="preserve">. </w:t>
      </w:r>
      <w:r w:rsidR="00977361">
        <w:rPr>
          <w:lang w:val="en-US"/>
        </w:rPr>
        <w:t xml:space="preserve">Only thermal noise is accounted for in the capacity calculations, so intercell interference is not taken into account. This is a reasonable assumption for the UMa scenario since this is mainly noise limited. For the InH scenario, however, intercell interference will have a significant impact. </w:t>
      </w:r>
      <w:r>
        <w:rPr>
          <w:lang w:val="en-US"/>
        </w:rPr>
        <w:t xml:space="preserve">To investigate the impact </w:t>
      </w:r>
      <w:r w:rsidR="00D03023">
        <w:rPr>
          <w:lang w:val="en-US"/>
        </w:rPr>
        <w:t>of beam grouping on the channel rank</w:t>
      </w:r>
      <w:r>
        <w:rPr>
          <w:lang w:val="en-US"/>
        </w:rPr>
        <w:t xml:space="preserve">, we also </w:t>
      </w:r>
      <w:r w:rsidR="00D03023">
        <w:rPr>
          <w:lang w:val="en-US"/>
        </w:rPr>
        <w:t>investigate</w:t>
      </w:r>
      <w:r>
        <w:rPr>
          <w:lang w:val="en-US"/>
        </w:rPr>
        <w:t xml:space="preserve"> the rank obtained </w:t>
      </w:r>
      <w:r w:rsidR="00D03023">
        <w:rPr>
          <w:lang w:val="en-US"/>
        </w:rPr>
        <w:t>when applying</w:t>
      </w:r>
      <w:r>
        <w:rPr>
          <w:lang w:val="en-US"/>
        </w:rPr>
        <w:t xml:space="preserve"> the waterfilling </w:t>
      </w:r>
      <w:r w:rsidR="00D03023">
        <w:rPr>
          <w:lang w:val="en-US"/>
        </w:rPr>
        <w:t>algorithm</w:t>
      </w:r>
      <w:r>
        <w:rPr>
          <w:lang w:val="en-US"/>
        </w:rPr>
        <w:t>.</w:t>
      </w:r>
    </w:p>
    <w:p w14:paraId="2B9FDC25" w14:textId="077B4450" w:rsidR="00D03023" w:rsidRDefault="00D03023" w:rsidP="00EB5381">
      <w:pPr>
        <w:rPr>
          <w:lang w:val="en-US"/>
        </w:rPr>
      </w:pPr>
      <w:r>
        <w:rPr>
          <w:lang w:val="en-US"/>
        </w:rPr>
        <w:t xml:space="preserve">Channel rank and spectral efficiency for the InH scenario are shown </w:t>
      </w:r>
      <w:r>
        <w:rPr>
          <w:lang w:val="en-US"/>
        </w:rPr>
        <w:fldChar w:fldCharType="begin"/>
      </w:r>
      <w:r>
        <w:rPr>
          <w:lang w:val="en-US"/>
        </w:rPr>
        <w:instrText xml:space="preserve"> REF _Ref481747665 \h </w:instrText>
      </w:r>
      <w:r>
        <w:rPr>
          <w:lang w:val="en-US"/>
        </w:rPr>
      </w:r>
      <w:r>
        <w:rPr>
          <w:lang w:val="en-US"/>
        </w:rPr>
        <w:fldChar w:fldCharType="separate"/>
      </w:r>
      <w:r>
        <w:t xml:space="preserve">Figure </w:t>
      </w:r>
      <w:r>
        <w:rPr>
          <w:noProof/>
        </w:rPr>
        <w:t>1</w:t>
      </w:r>
      <w:r>
        <w:rPr>
          <w:lang w:val="en-US"/>
        </w:rPr>
        <w:fldChar w:fldCharType="end"/>
      </w:r>
      <w:r>
        <w:rPr>
          <w:lang w:val="en-US"/>
        </w:rPr>
        <w:t>. In this case a performance gain with the grouping-based approach</w:t>
      </w:r>
      <w:r w:rsidR="009A7126">
        <w:rPr>
          <w:lang w:val="en-US"/>
        </w:rPr>
        <w:t>es over no grouping</w:t>
      </w:r>
      <w:r>
        <w:rPr>
          <w:lang w:val="en-US"/>
        </w:rPr>
        <w:t xml:space="preserve"> can be observed.</w:t>
      </w:r>
      <w:r w:rsidR="009A7126">
        <w:rPr>
          <w:lang w:val="en-US"/>
        </w:rPr>
        <w:t xml:space="preserve"> Constructing groups based on capacity gives only </w:t>
      </w:r>
      <w:r w:rsidR="009A7126">
        <w:rPr>
          <w:lang w:val="en-US"/>
        </w:rPr>
        <w:lastRenderedPageBreak/>
        <w:t>a small gain compared to the RSRP based approach.</w:t>
      </w:r>
      <w:r>
        <w:rPr>
          <w:lang w:val="en-US"/>
        </w:rPr>
        <w:t xml:space="preserve"> It can also be seen that there are more rank-4 channels with the grouping-based approach</w:t>
      </w:r>
      <w:r w:rsidR="009A7126">
        <w:rPr>
          <w:lang w:val="en-US"/>
        </w:rPr>
        <w:t>es</w:t>
      </w:r>
      <w:r>
        <w:rPr>
          <w:lang w:val="en-US"/>
        </w:rPr>
        <w:t xml:space="preserve">. A likely explanation of this is that </w:t>
      </w:r>
      <w:r w:rsidR="008640FF">
        <w:rPr>
          <w:lang w:val="en-US"/>
        </w:rPr>
        <w:t>selecting TX beams that are good for both UE panels excites a richer channel. However, utilizing this richness requires high SNR since some channel modes may be weak. This is not a problem in the interference-free InH scenario since this has extremely high SNR</w:t>
      </w:r>
      <w:r w:rsidR="00FC207F">
        <w:rPr>
          <w:lang w:val="en-US"/>
        </w:rPr>
        <w:t xml:space="preserve"> levels</w:t>
      </w:r>
      <w:r w:rsidR="008640FF">
        <w:rPr>
          <w:lang w:val="en-US"/>
        </w:rPr>
        <w:t>.</w:t>
      </w:r>
    </w:p>
    <w:p w14:paraId="1D82B636" w14:textId="77777777" w:rsidR="00EB5381" w:rsidRPr="00B37802" w:rsidRDefault="00EB5381" w:rsidP="00EB5381">
      <w:pPr>
        <w:rPr>
          <w:noProof/>
          <w:lang w:val="en-US" w:eastAsia="sv-SE"/>
        </w:rPr>
      </w:pPr>
    </w:p>
    <w:p w14:paraId="3A95039E" w14:textId="1DC8EE02" w:rsidR="00EB5381" w:rsidRPr="009426A7" w:rsidRDefault="00EB5381" w:rsidP="00EB5381">
      <w:pPr>
        <w:rPr>
          <w:noProof/>
          <w:lang w:val="en-US" w:eastAsia="sv-SE"/>
        </w:rPr>
      </w:pPr>
    </w:p>
    <w:p w14:paraId="73ED335A" w14:textId="5F3AC5BF" w:rsidR="009A5518" w:rsidRDefault="008801BA" w:rsidP="00EB5381">
      <w:pPr>
        <w:rPr>
          <w:noProof/>
          <w:lang w:val="sv-SE" w:eastAsia="sv-SE"/>
        </w:rPr>
      </w:pPr>
      <w:r>
        <w:rPr>
          <w:noProof/>
          <w:lang w:val="sv-SE" w:eastAsia="sv-SE"/>
        </w:rPr>
        <w:drawing>
          <wp:inline distT="0" distB="0" distL="0" distR="0" wp14:anchorId="6CC10BF2" wp14:editId="3FF31940">
            <wp:extent cx="2934000" cy="2199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_InH_2_rank_0d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sidR="009A5518">
        <w:rPr>
          <w:noProof/>
          <w:lang w:val="sv-SE" w:eastAsia="sv-SE"/>
        </w:rPr>
        <w:drawing>
          <wp:inline distT="0" distB="0" distL="0" distR="0" wp14:anchorId="35C0CFC8" wp14:editId="23996AED">
            <wp:extent cx="2934000" cy="2199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_InH_2_se_0dB.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38FAFC12" w14:textId="0AD072D9" w:rsidR="003607AB" w:rsidRDefault="003607AB" w:rsidP="003607AB">
      <w:pPr>
        <w:pStyle w:val="Caption"/>
      </w:pPr>
      <w:bookmarkStart w:id="1" w:name="_Ref481747665"/>
      <w:r>
        <w:t xml:space="preserve">Figure </w:t>
      </w:r>
      <w:r w:rsidR="001A4375">
        <w:fldChar w:fldCharType="begin"/>
      </w:r>
      <w:r w:rsidR="001A4375">
        <w:instrText xml:space="preserve"> SEQ Figure \* ARABIC </w:instrText>
      </w:r>
      <w:r w:rsidR="001A4375">
        <w:fldChar w:fldCharType="separate"/>
      </w:r>
      <w:r w:rsidR="001A4375">
        <w:rPr>
          <w:noProof/>
        </w:rPr>
        <w:t>1</w:t>
      </w:r>
      <w:r w:rsidR="001A4375">
        <w:fldChar w:fldCharType="end"/>
      </w:r>
      <w:bookmarkEnd w:id="1"/>
      <w:r>
        <w:tab/>
      </w:r>
      <w:r w:rsidR="008801BA">
        <w:t>Simulation results for InH</w:t>
      </w:r>
    </w:p>
    <w:p w14:paraId="0795C2F3" w14:textId="77777777" w:rsidR="00FC207F" w:rsidRDefault="00FC207F" w:rsidP="003607AB"/>
    <w:p w14:paraId="35B1EA24" w14:textId="3F78DB68" w:rsidR="00A770ED" w:rsidRPr="00A770ED" w:rsidRDefault="00FD3DF4" w:rsidP="00A770ED">
      <w:r>
        <w:fldChar w:fldCharType="begin"/>
      </w:r>
      <w:r>
        <w:instrText xml:space="preserve"> REF _Ref481753758 \h </w:instrText>
      </w:r>
      <w:r>
        <w:fldChar w:fldCharType="separate"/>
      </w:r>
      <w:r>
        <w:t xml:space="preserve">Figure </w:t>
      </w:r>
      <w:r>
        <w:rPr>
          <w:noProof/>
        </w:rPr>
        <w:t>2</w:t>
      </w:r>
      <w:r>
        <w:fldChar w:fldCharType="end"/>
      </w:r>
      <w:r w:rsidR="00A770ED">
        <w:t xml:space="preserve"> shows results for the UMa scenario. In this scenario, the SNR levels are lower and the gain with beam grouping is essentially lost.</w:t>
      </w:r>
      <w:r>
        <w:t xml:space="preserve"> </w:t>
      </w:r>
      <w:r w:rsidR="00A770ED">
        <w:t xml:space="preserve">This is probably due to that the SNR is not sufficiently high to utilize </w:t>
      </w:r>
      <w:r w:rsidR="006E4235">
        <w:t xml:space="preserve">weak </w:t>
      </w:r>
      <w:r w:rsidR="00A770ED">
        <w:t xml:space="preserve">propagation paths to the panel facing away from the TRP. </w:t>
      </w:r>
    </w:p>
    <w:p w14:paraId="2EDD63DD" w14:textId="77777777" w:rsidR="003607AB" w:rsidRPr="003607AB" w:rsidRDefault="003607AB" w:rsidP="003607AB"/>
    <w:p w14:paraId="231CB604" w14:textId="49B0930C" w:rsidR="00EB5381" w:rsidRPr="00FD3DF4" w:rsidRDefault="00EB5381" w:rsidP="00EB5381">
      <w:pPr>
        <w:rPr>
          <w:noProof/>
          <w:lang w:val="en-US" w:eastAsia="sv-SE"/>
        </w:rPr>
      </w:pPr>
    </w:p>
    <w:p w14:paraId="5B8D259B" w14:textId="24B4B2E8" w:rsidR="001D0D75" w:rsidRDefault="001D0D75" w:rsidP="00EB5381">
      <w:pPr>
        <w:rPr>
          <w:noProof/>
          <w:lang w:val="sv-SE" w:eastAsia="sv-SE"/>
        </w:rPr>
      </w:pPr>
      <w:r>
        <w:rPr>
          <w:noProof/>
          <w:lang w:val="sv-SE" w:eastAsia="sv-SE"/>
        </w:rPr>
        <w:drawing>
          <wp:inline distT="0" distB="0" distL="0" distR="0" wp14:anchorId="43402F05" wp14:editId="69511A2A">
            <wp:extent cx="2934000" cy="2199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_UMa_2_rank_0dB.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Pr>
          <w:noProof/>
          <w:lang w:val="sv-SE" w:eastAsia="sv-SE"/>
        </w:rPr>
        <w:drawing>
          <wp:inline distT="0" distB="0" distL="0" distR="0" wp14:anchorId="22C35B30" wp14:editId="65FFEE39">
            <wp:extent cx="2934000" cy="2199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_UMa_2_se_0d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13E1033" w14:textId="4A4E9F2E" w:rsidR="003607AB" w:rsidRDefault="003607AB" w:rsidP="003607AB">
      <w:pPr>
        <w:pStyle w:val="Caption"/>
      </w:pPr>
      <w:bookmarkStart w:id="2" w:name="_Ref481753758"/>
      <w:r>
        <w:t xml:space="preserve">Figure </w:t>
      </w:r>
      <w:r w:rsidR="001A4375">
        <w:fldChar w:fldCharType="begin"/>
      </w:r>
      <w:r w:rsidR="001A4375">
        <w:instrText xml:space="preserve"> SEQ Figure \* ARABIC </w:instrText>
      </w:r>
      <w:r w:rsidR="001A4375">
        <w:fldChar w:fldCharType="separate"/>
      </w:r>
      <w:r w:rsidR="001A4375">
        <w:rPr>
          <w:noProof/>
        </w:rPr>
        <w:t>2</w:t>
      </w:r>
      <w:r w:rsidR="001A4375">
        <w:fldChar w:fldCharType="end"/>
      </w:r>
      <w:bookmarkEnd w:id="2"/>
      <w:r>
        <w:tab/>
      </w:r>
      <w:r w:rsidR="00BB3B8A">
        <w:t xml:space="preserve">Simulation results for UMa </w:t>
      </w:r>
    </w:p>
    <w:p w14:paraId="1A015C06" w14:textId="77777777" w:rsidR="00A65A53" w:rsidRDefault="00A65A53" w:rsidP="00BB3B8A">
      <w:pPr>
        <w:rPr>
          <w:noProof/>
          <w:lang w:val="en-US" w:eastAsia="sv-SE"/>
        </w:rPr>
      </w:pPr>
    </w:p>
    <w:p w14:paraId="25A0D928" w14:textId="33F8562B" w:rsidR="00BB3B8A" w:rsidRDefault="00A65A53" w:rsidP="00BB3B8A">
      <w:pPr>
        <w:rPr>
          <w:noProof/>
          <w:lang w:val="en-US" w:eastAsia="sv-SE"/>
        </w:rPr>
      </w:pPr>
      <w:r>
        <w:rPr>
          <w:noProof/>
          <w:lang w:val="en-US" w:eastAsia="sv-SE"/>
        </w:rPr>
        <w:t>It is</w:t>
      </w:r>
      <w:r w:rsidR="008854F8">
        <w:rPr>
          <w:noProof/>
          <w:lang w:val="en-US" w:eastAsia="sv-SE"/>
        </w:rPr>
        <w:t xml:space="preserve"> impor</w:t>
      </w:r>
      <w:r>
        <w:rPr>
          <w:noProof/>
          <w:lang w:val="en-US" w:eastAsia="sv-SE"/>
        </w:rPr>
        <w:t>t</w:t>
      </w:r>
      <w:r w:rsidR="008854F8">
        <w:rPr>
          <w:noProof/>
          <w:lang w:val="en-US" w:eastAsia="sv-SE"/>
        </w:rPr>
        <w:t xml:space="preserve">ant </w:t>
      </w:r>
      <w:r>
        <w:rPr>
          <w:noProof/>
          <w:lang w:val="en-US" w:eastAsia="sv-SE"/>
        </w:rPr>
        <w:t>to be aware of t</w:t>
      </w:r>
      <w:r w:rsidR="008854F8">
        <w:rPr>
          <w:noProof/>
          <w:lang w:val="en-US" w:eastAsia="sv-SE"/>
        </w:rPr>
        <w:t>hat</w:t>
      </w:r>
      <w:r w:rsidR="00FD3DF4">
        <w:rPr>
          <w:noProof/>
          <w:lang w:val="en-US" w:eastAsia="sv-SE"/>
        </w:rPr>
        <w:t xml:space="preserve"> the two considered scenarios are quite extreme in the sense that a substantial number of UEs in the InH scenario has very high SNR and a substantial number of UEs in the UMa scenario has very low SNR. </w:t>
      </w:r>
      <w:r w:rsidR="00F06929">
        <w:rPr>
          <w:noProof/>
          <w:lang w:val="en-US" w:eastAsia="sv-SE"/>
        </w:rPr>
        <w:t xml:space="preserve">For the InH scenario, the high SNR </w:t>
      </w:r>
      <w:r>
        <w:rPr>
          <w:noProof/>
          <w:lang w:val="en-US" w:eastAsia="sv-SE"/>
        </w:rPr>
        <w:t xml:space="preserve"> is due to short intersite distance and high line-of-sight probability, while </w:t>
      </w:r>
      <w:r>
        <w:rPr>
          <w:noProof/>
          <w:lang w:val="en-US" w:eastAsia="sv-SE"/>
        </w:rPr>
        <w:lastRenderedPageBreak/>
        <w:t xml:space="preserve">the low SNR values in UMa are due to long intersite distance and large amount of indoor UEs having high building penetration loss at 30 GHz. </w:t>
      </w:r>
      <w:r w:rsidR="00507DEA">
        <w:rPr>
          <w:noProof/>
          <w:lang w:val="en-US" w:eastAsia="sv-SE"/>
        </w:rPr>
        <w:t>It is also important to note</w:t>
      </w:r>
      <w:r w:rsidR="00E7323C">
        <w:rPr>
          <w:noProof/>
          <w:lang w:val="en-US" w:eastAsia="sv-SE"/>
        </w:rPr>
        <w:t xml:space="preserve"> that </w:t>
      </w:r>
      <w:r w:rsidR="00E7323C">
        <w:rPr>
          <w:lang w:val="en-US"/>
        </w:rPr>
        <w:fldChar w:fldCharType="begin"/>
      </w:r>
      <w:r w:rsidR="00E7323C">
        <w:rPr>
          <w:lang w:val="en-US"/>
        </w:rPr>
        <w:instrText xml:space="preserve"> REF _Ref481747665 \h </w:instrText>
      </w:r>
      <w:r w:rsidR="00E7323C">
        <w:rPr>
          <w:lang w:val="en-US"/>
        </w:rPr>
      </w:r>
      <w:r w:rsidR="00E7323C">
        <w:rPr>
          <w:lang w:val="en-US"/>
        </w:rPr>
        <w:fldChar w:fldCharType="separate"/>
      </w:r>
      <w:r w:rsidR="00E7323C">
        <w:t xml:space="preserve">Figure </w:t>
      </w:r>
      <w:r w:rsidR="00E7323C">
        <w:rPr>
          <w:noProof/>
        </w:rPr>
        <w:t>1</w:t>
      </w:r>
      <w:r w:rsidR="00E7323C">
        <w:rPr>
          <w:lang w:val="en-US"/>
        </w:rPr>
        <w:fldChar w:fldCharType="end"/>
      </w:r>
      <w:r w:rsidR="00E7323C">
        <w:rPr>
          <w:lang w:val="en-US"/>
        </w:rPr>
        <w:t xml:space="preserve"> corresponds to an interference-free InH scenario, resulting in extremely high SNR levels.</w:t>
      </w:r>
      <w:r w:rsidR="00E7323C">
        <w:rPr>
          <w:noProof/>
          <w:lang w:val="en-US" w:eastAsia="sv-SE"/>
        </w:rPr>
        <w:t xml:space="preserve"> In order to study more realistic SNR levels for this scenario, we adopted a simple approach of raising the thermal noise level to the expected noise+interference level. </w:t>
      </w:r>
      <w:r w:rsidR="00D404BC">
        <w:rPr>
          <w:noProof/>
          <w:lang w:val="en-US" w:eastAsia="sv-SE"/>
        </w:rPr>
        <w:t>The required noise rise was estimated from the system simulation results from the NR MIMO calibration campaign</w:t>
      </w:r>
      <w:r w:rsidR="00A74D19">
        <w:rPr>
          <w:noProof/>
          <w:lang w:val="en-US" w:eastAsia="sv-SE"/>
        </w:rPr>
        <w:t xml:space="preserve"> </w:t>
      </w:r>
      <w:r w:rsidR="00A74D19">
        <w:rPr>
          <w:noProof/>
          <w:lang w:val="en-US" w:eastAsia="sv-SE"/>
        </w:rPr>
        <w:fldChar w:fldCharType="begin"/>
      </w:r>
      <w:r w:rsidR="00A74D19">
        <w:rPr>
          <w:noProof/>
          <w:lang w:val="en-US" w:eastAsia="sv-SE"/>
        </w:rPr>
        <w:instrText xml:space="preserve"> REF _Ref481778901 \r \h </w:instrText>
      </w:r>
      <w:r w:rsidR="00A74D19">
        <w:rPr>
          <w:noProof/>
          <w:lang w:val="en-US" w:eastAsia="sv-SE"/>
        </w:rPr>
      </w:r>
      <w:r w:rsidR="00A74D19">
        <w:rPr>
          <w:noProof/>
          <w:lang w:val="en-US" w:eastAsia="sv-SE"/>
        </w:rPr>
        <w:fldChar w:fldCharType="separate"/>
      </w:r>
      <w:r w:rsidR="00A74D19">
        <w:rPr>
          <w:noProof/>
          <w:lang w:val="en-US" w:eastAsia="sv-SE"/>
        </w:rPr>
        <w:t>[4]</w:t>
      </w:r>
      <w:r w:rsidR="00A74D19">
        <w:rPr>
          <w:noProof/>
          <w:lang w:val="en-US" w:eastAsia="sv-SE"/>
        </w:rPr>
        <w:fldChar w:fldCharType="end"/>
      </w:r>
      <w:r w:rsidR="00D404BC">
        <w:rPr>
          <w:noProof/>
          <w:lang w:val="en-US" w:eastAsia="sv-SE"/>
        </w:rPr>
        <w:t xml:space="preserve">, where both SNR and SINR CDFs were calculated. </w:t>
      </w:r>
      <w:r w:rsidR="00A74D19">
        <w:rPr>
          <w:noProof/>
          <w:lang w:val="en-US" w:eastAsia="sv-SE"/>
        </w:rPr>
        <w:t>We estimated the noise rise to</w:t>
      </w:r>
      <w:r w:rsidR="008854F8">
        <w:rPr>
          <w:noProof/>
          <w:lang w:val="en-US" w:eastAsia="sv-SE"/>
        </w:rPr>
        <w:t xml:space="preserve"> be roughly</w:t>
      </w:r>
      <w:r w:rsidR="00A74D19">
        <w:rPr>
          <w:noProof/>
          <w:lang w:val="en-US" w:eastAsia="sv-SE"/>
        </w:rPr>
        <w:t xml:space="preserve"> 13 dB</w:t>
      </w:r>
      <w:r w:rsidR="008854F8">
        <w:rPr>
          <w:noProof/>
          <w:lang w:val="en-US" w:eastAsia="sv-SE"/>
        </w:rPr>
        <w:t>,</w:t>
      </w:r>
      <w:r w:rsidR="00A74D19">
        <w:rPr>
          <w:noProof/>
          <w:lang w:val="en-US" w:eastAsia="sv-SE"/>
        </w:rPr>
        <w:t xml:space="preserve"> and the results for this </w:t>
      </w:r>
      <w:r w:rsidR="008854F8">
        <w:rPr>
          <w:noProof/>
          <w:lang w:val="en-US" w:eastAsia="sv-SE"/>
        </w:rPr>
        <w:t>noise-rise value</w:t>
      </w:r>
      <w:r w:rsidR="00B21D66">
        <w:rPr>
          <w:noProof/>
          <w:lang w:val="en-US" w:eastAsia="sv-SE"/>
        </w:rPr>
        <w:t xml:space="preserve"> </w:t>
      </w:r>
      <w:r w:rsidR="00A74D19">
        <w:rPr>
          <w:noProof/>
          <w:lang w:val="en-US" w:eastAsia="sv-SE"/>
        </w:rPr>
        <w:t xml:space="preserve">are shown in </w:t>
      </w:r>
      <w:r w:rsidR="000C1169">
        <w:rPr>
          <w:noProof/>
          <w:lang w:val="en-US" w:eastAsia="sv-SE"/>
        </w:rPr>
        <w:fldChar w:fldCharType="begin"/>
      </w:r>
      <w:r w:rsidR="000C1169">
        <w:rPr>
          <w:noProof/>
          <w:lang w:val="en-US" w:eastAsia="sv-SE"/>
        </w:rPr>
        <w:instrText xml:space="preserve"> REF _Ref481754412 \h </w:instrText>
      </w:r>
      <w:r w:rsidR="000C1169">
        <w:rPr>
          <w:noProof/>
          <w:lang w:val="en-US" w:eastAsia="sv-SE"/>
        </w:rPr>
      </w:r>
      <w:r w:rsidR="000C1169">
        <w:rPr>
          <w:noProof/>
          <w:lang w:val="en-US" w:eastAsia="sv-SE"/>
        </w:rPr>
        <w:fldChar w:fldCharType="separate"/>
      </w:r>
      <w:r w:rsidR="000C1169">
        <w:t xml:space="preserve">Figure </w:t>
      </w:r>
      <w:r w:rsidR="000C1169">
        <w:rPr>
          <w:noProof/>
        </w:rPr>
        <w:t>3</w:t>
      </w:r>
      <w:r w:rsidR="000C1169">
        <w:rPr>
          <w:noProof/>
          <w:lang w:val="en-US" w:eastAsia="sv-SE"/>
        </w:rPr>
        <w:fldChar w:fldCharType="end"/>
      </w:r>
      <w:r w:rsidR="00A74D19">
        <w:rPr>
          <w:noProof/>
          <w:lang w:val="en-US" w:eastAsia="sv-SE"/>
        </w:rPr>
        <w:fldChar w:fldCharType="begin"/>
      </w:r>
      <w:r w:rsidR="00A74D19">
        <w:rPr>
          <w:noProof/>
          <w:lang w:val="en-US" w:eastAsia="sv-SE"/>
        </w:rPr>
        <w:instrText xml:space="preserve"> REF _Ref481754412 \h </w:instrText>
      </w:r>
      <w:r w:rsidR="00A74D19">
        <w:rPr>
          <w:noProof/>
          <w:lang w:val="en-US" w:eastAsia="sv-SE"/>
        </w:rPr>
      </w:r>
      <w:r w:rsidR="00A74D19">
        <w:rPr>
          <w:noProof/>
          <w:lang w:val="en-US" w:eastAsia="sv-SE"/>
        </w:rPr>
        <w:fldChar w:fldCharType="end"/>
      </w:r>
      <w:r w:rsidR="00A74D19">
        <w:rPr>
          <w:noProof/>
          <w:lang w:val="en-US" w:eastAsia="sv-SE"/>
        </w:rPr>
        <w:t>.</w:t>
      </w:r>
      <w:r w:rsidR="00B21D66">
        <w:rPr>
          <w:noProof/>
          <w:lang w:val="en-US" w:eastAsia="sv-SE"/>
        </w:rPr>
        <w:t xml:space="preserve"> </w:t>
      </w:r>
      <w:r w:rsidR="008854F8">
        <w:rPr>
          <w:noProof/>
          <w:lang w:val="en-US" w:eastAsia="sv-SE"/>
        </w:rPr>
        <w:t>Evidently, t</w:t>
      </w:r>
      <w:r w:rsidR="00B21D66">
        <w:rPr>
          <w:noProof/>
          <w:lang w:val="en-US" w:eastAsia="sv-SE"/>
        </w:rPr>
        <w:t>he gain with beam grouping</w:t>
      </w:r>
      <w:r w:rsidR="008854F8">
        <w:rPr>
          <w:noProof/>
          <w:lang w:val="en-US" w:eastAsia="sv-SE"/>
        </w:rPr>
        <w:t xml:space="preserve"> is very much diminished </w:t>
      </w:r>
      <w:r w:rsidR="00B21D66">
        <w:rPr>
          <w:noProof/>
          <w:lang w:val="en-US" w:eastAsia="sv-SE"/>
        </w:rPr>
        <w:t xml:space="preserve">compared to interference-free case in </w:t>
      </w:r>
      <w:r w:rsidR="00B21D66">
        <w:rPr>
          <w:noProof/>
          <w:lang w:val="en-US" w:eastAsia="sv-SE"/>
        </w:rPr>
        <w:fldChar w:fldCharType="begin"/>
      </w:r>
      <w:r w:rsidR="00B21D66">
        <w:rPr>
          <w:noProof/>
          <w:lang w:val="en-US" w:eastAsia="sv-SE"/>
        </w:rPr>
        <w:instrText xml:space="preserve"> REF _Ref481747665 \h </w:instrText>
      </w:r>
      <w:r w:rsidR="00B21D66">
        <w:rPr>
          <w:noProof/>
          <w:lang w:val="en-US" w:eastAsia="sv-SE"/>
        </w:rPr>
      </w:r>
      <w:r w:rsidR="00B21D66">
        <w:rPr>
          <w:noProof/>
          <w:lang w:val="en-US" w:eastAsia="sv-SE"/>
        </w:rPr>
        <w:fldChar w:fldCharType="separate"/>
      </w:r>
      <w:r w:rsidR="00B21D66">
        <w:t xml:space="preserve">Figure </w:t>
      </w:r>
      <w:r w:rsidR="00B21D66">
        <w:rPr>
          <w:noProof/>
        </w:rPr>
        <w:t>1</w:t>
      </w:r>
      <w:r w:rsidR="00B21D66">
        <w:rPr>
          <w:noProof/>
          <w:lang w:val="en-US" w:eastAsia="sv-SE"/>
        </w:rPr>
        <w:fldChar w:fldCharType="end"/>
      </w:r>
      <w:r w:rsidR="00B21D66">
        <w:rPr>
          <w:noProof/>
          <w:lang w:val="en-US" w:eastAsia="sv-SE"/>
        </w:rPr>
        <w:t xml:space="preserve">. For low percentiles in the CDF there is no gain with </w:t>
      </w:r>
      <w:r w:rsidR="008403CA">
        <w:rPr>
          <w:noProof/>
          <w:lang w:val="en-US" w:eastAsia="sv-SE"/>
        </w:rPr>
        <w:t xml:space="preserve">RSRP based </w:t>
      </w:r>
      <w:r w:rsidR="00B21D66">
        <w:rPr>
          <w:noProof/>
          <w:lang w:val="en-US" w:eastAsia="sv-SE"/>
        </w:rPr>
        <w:t xml:space="preserve">beam grouping. </w:t>
      </w:r>
      <w:r w:rsidR="008403CA">
        <w:rPr>
          <w:noProof/>
          <w:lang w:val="en-US" w:eastAsia="sv-SE"/>
        </w:rPr>
        <w:t>The gain with capacity based grouping compared to RSRP based has decreased when the noise level was increased.</w:t>
      </w:r>
      <w:r w:rsidR="00EA3C77">
        <w:rPr>
          <w:noProof/>
          <w:lang w:val="en-US" w:eastAsia="sv-SE"/>
        </w:rPr>
        <w:t xml:space="preserve"> T</w:t>
      </w:r>
      <w:r w:rsidR="00FC207F">
        <w:rPr>
          <w:noProof/>
          <w:lang w:val="en-US" w:eastAsia="sv-SE"/>
        </w:rPr>
        <w:t>he</w:t>
      </w:r>
      <w:r w:rsidR="00B21D66">
        <w:rPr>
          <w:noProof/>
          <w:lang w:val="en-US" w:eastAsia="sv-SE"/>
        </w:rPr>
        <w:t xml:space="preserve"> SNR </w:t>
      </w:r>
      <w:r w:rsidR="007A3A58">
        <w:rPr>
          <w:noProof/>
          <w:lang w:val="en-US" w:eastAsia="sv-SE"/>
        </w:rPr>
        <w:t>levels</w:t>
      </w:r>
      <w:r w:rsidR="00B21D66">
        <w:rPr>
          <w:noProof/>
          <w:lang w:val="en-US" w:eastAsia="sv-SE"/>
        </w:rPr>
        <w:t xml:space="preserve"> are still very high </w:t>
      </w:r>
      <w:r w:rsidR="007A3A58">
        <w:rPr>
          <w:noProof/>
          <w:lang w:val="en-US" w:eastAsia="sv-SE"/>
        </w:rPr>
        <w:t>despite the noise rise</w:t>
      </w:r>
      <w:r w:rsidR="008854F8">
        <w:rPr>
          <w:noProof/>
          <w:lang w:val="en-US" w:eastAsia="sv-SE"/>
        </w:rPr>
        <w:t>,</w:t>
      </w:r>
      <w:r w:rsidR="007A3A58">
        <w:rPr>
          <w:noProof/>
          <w:lang w:val="en-US" w:eastAsia="sv-SE"/>
        </w:rPr>
        <w:t xml:space="preserve"> </w:t>
      </w:r>
      <w:r w:rsidR="00B21D66">
        <w:rPr>
          <w:noProof/>
          <w:lang w:val="en-US" w:eastAsia="sv-SE"/>
        </w:rPr>
        <w:t xml:space="preserve">since the median SINR value in the MIMO calibration results was </w:t>
      </w:r>
      <w:r w:rsidR="00FC207F">
        <w:rPr>
          <w:noProof/>
          <w:lang w:val="en-US" w:eastAsia="sv-SE"/>
        </w:rPr>
        <w:t xml:space="preserve">around </w:t>
      </w:r>
      <w:r w:rsidR="004E6122">
        <w:rPr>
          <w:noProof/>
          <w:lang w:val="en-US" w:eastAsia="sv-SE"/>
        </w:rPr>
        <w:t>30 dB. We found that by increasing the noise rise further to produce more moderate SNR levels, the gain from beam grouping becomes very small indeed.</w:t>
      </w:r>
    </w:p>
    <w:p w14:paraId="5D1BC098" w14:textId="77777777" w:rsidR="00A2025C" w:rsidRPr="003607AB" w:rsidRDefault="00A2025C" w:rsidP="00A2025C">
      <w:pPr>
        <w:rPr>
          <w:noProof/>
          <w:lang w:val="en-US" w:eastAsia="sv-SE"/>
        </w:rPr>
      </w:pPr>
      <w:r>
        <w:rPr>
          <w:noProof/>
          <w:lang w:val="en-US" w:eastAsia="sv-SE"/>
        </w:rPr>
        <w:t>We summarize the simulation results in the following observations:</w:t>
      </w:r>
    </w:p>
    <w:p w14:paraId="0CB87092" w14:textId="77777777" w:rsidR="00A2025C" w:rsidRDefault="00A2025C" w:rsidP="00A2025C">
      <w:pPr>
        <w:pStyle w:val="Observation"/>
      </w:pPr>
      <w:r>
        <w:t>For UE antenna configurations with two panels, spectral efficiency and channel rank can be enhanced with group-based reporting in very high SNR scenarios assuming ideal conditions.</w:t>
      </w:r>
    </w:p>
    <w:p w14:paraId="1AC3535A" w14:textId="77777777" w:rsidR="00A2025C" w:rsidRDefault="00A2025C" w:rsidP="00A2025C">
      <w:pPr>
        <w:pStyle w:val="Observation"/>
      </w:pPr>
      <w:r>
        <w:t>In moderate SNR scenarios, group-based reporting is not expected to give significant performance gains.</w:t>
      </w:r>
    </w:p>
    <w:p w14:paraId="7A83DBE4" w14:textId="77777777" w:rsidR="00A2025C" w:rsidRPr="009426A7" w:rsidRDefault="00A2025C" w:rsidP="00BB3B8A">
      <w:pPr>
        <w:rPr>
          <w:noProof/>
          <w:lang w:eastAsia="sv-SE"/>
        </w:rPr>
      </w:pPr>
    </w:p>
    <w:p w14:paraId="66D16864" w14:textId="40DF1CB8" w:rsidR="003607AB" w:rsidRDefault="003607AB" w:rsidP="003607AB"/>
    <w:p w14:paraId="2CFC03AA" w14:textId="73D8BFF4" w:rsidR="00813E37" w:rsidRDefault="0088098D" w:rsidP="003607AB">
      <w:r>
        <w:rPr>
          <w:noProof/>
          <w:lang w:val="sv-SE" w:eastAsia="sv-SE"/>
        </w:rPr>
        <w:drawing>
          <wp:inline distT="0" distB="0" distL="0" distR="0" wp14:anchorId="73A5C92D" wp14:editId="5DBB1D3F">
            <wp:extent cx="2934000" cy="2199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_InH_2_rank_13d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Pr>
          <w:noProof/>
          <w:lang w:val="sv-SE" w:eastAsia="sv-SE"/>
        </w:rPr>
        <w:drawing>
          <wp:inline distT="0" distB="0" distL="0" distR="0" wp14:anchorId="5D48D7D1" wp14:editId="6C5C35A7">
            <wp:extent cx="2934000" cy="2199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_InH_2_se_13dB.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58B9C564" w14:textId="77777777" w:rsidR="00425ACE" w:rsidRDefault="00425ACE" w:rsidP="003607AB"/>
    <w:p w14:paraId="7F7F54FD" w14:textId="3BCEEDEB" w:rsidR="00EB5381" w:rsidRDefault="003607AB" w:rsidP="004E6122">
      <w:pPr>
        <w:pStyle w:val="Caption"/>
      </w:pPr>
      <w:bookmarkStart w:id="3" w:name="_Ref481754412"/>
      <w:r>
        <w:t xml:space="preserve">Figure </w:t>
      </w:r>
      <w:r w:rsidR="001A4375">
        <w:fldChar w:fldCharType="begin"/>
      </w:r>
      <w:r w:rsidR="001A4375">
        <w:instrText xml:space="preserve"> SEQ Figure \* ARABIC </w:instrText>
      </w:r>
      <w:r w:rsidR="001A4375">
        <w:fldChar w:fldCharType="separate"/>
      </w:r>
      <w:r w:rsidR="001A4375">
        <w:rPr>
          <w:noProof/>
        </w:rPr>
        <w:t>3</w:t>
      </w:r>
      <w:r w:rsidR="001A4375">
        <w:fldChar w:fldCharType="end"/>
      </w:r>
      <w:bookmarkEnd w:id="3"/>
      <w:r>
        <w:tab/>
      </w:r>
      <w:r w:rsidR="00425ACE">
        <w:t xml:space="preserve">Simulation results for InH with </w:t>
      </w:r>
      <w:r w:rsidR="00112814">
        <w:t>13 dB noise rise</w:t>
      </w:r>
    </w:p>
    <w:p w14:paraId="3618D077" w14:textId="77777777" w:rsidR="00ED7F42" w:rsidRDefault="00ED7F42" w:rsidP="0081165C"/>
    <w:p w14:paraId="4DC5A857" w14:textId="33B91D15" w:rsidR="00B76B12" w:rsidRDefault="00B76B12" w:rsidP="009426A7">
      <w:pPr>
        <w:pStyle w:val="Heading1"/>
      </w:pPr>
      <w:r>
        <w:t>Discussion</w:t>
      </w:r>
    </w:p>
    <w:p w14:paraId="6E9A2868" w14:textId="77777777" w:rsidR="003F6731" w:rsidRDefault="00ED7F42" w:rsidP="0081165C">
      <w:r>
        <w:t xml:space="preserve">It should be noted that the simulation results provided in this contribution are based on ideal assumptions such as channel capacity calculation assuming perfect channel </w:t>
      </w:r>
      <w:r w:rsidR="00F221ED">
        <w:t xml:space="preserve">state </w:t>
      </w:r>
      <w:r>
        <w:t>information and no hardware impairments. Even under such circumstances, we have not found any substantial gains with beam grouping.</w:t>
      </w:r>
      <w:r w:rsidR="00F221ED">
        <w:t xml:space="preserve"> </w:t>
      </w:r>
      <w:r>
        <w:t>In a practical system, hardware impairments, channel estimation errors, limited modulation order, etc</w:t>
      </w:r>
      <w:r w:rsidR="007F0B8F">
        <w:t>.,</w:t>
      </w:r>
      <w:r>
        <w:t xml:space="preserve"> will </w:t>
      </w:r>
      <w:r w:rsidR="00F221ED">
        <w:t>limit the spectral efficiencies to significantly lower values which will likely not be in favour for the grouping based approaches.</w:t>
      </w:r>
      <w:r w:rsidR="007F0B8F">
        <w:t xml:space="preserve"> </w:t>
      </w:r>
    </w:p>
    <w:p w14:paraId="16535B85" w14:textId="3C12B710" w:rsidR="00350750" w:rsidRDefault="00F71971" w:rsidP="0081165C">
      <w:r>
        <w:t xml:space="preserve">Regarding the two proposed grouping alternatives, </w:t>
      </w:r>
      <w:r w:rsidR="00E278AA">
        <w:t>A1 and A2</w:t>
      </w:r>
      <w:r>
        <w:t xml:space="preserve">, there are pros and cons with both alternatives as discussed in detail in </w:t>
      </w:r>
      <w:r w:rsidR="00961855">
        <w:fldChar w:fldCharType="begin"/>
      </w:r>
      <w:r w:rsidR="00961855">
        <w:instrText xml:space="preserve"> REF _Ref490129182 \r \h </w:instrText>
      </w:r>
      <w:r w:rsidR="00961855">
        <w:fldChar w:fldCharType="separate"/>
      </w:r>
      <w:r w:rsidR="00961855">
        <w:t>[4]</w:t>
      </w:r>
      <w:r w:rsidR="00961855">
        <w:fldChar w:fldCharType="end"/>
      </w:r>
      <w:r w:rsidR="00961855">
        <w:t xml:space="preserve">. </w:t>
      </w:r>
      <w:r w:rsidR="00E278AA">
        <w:t xml:space="preserve">The choice of alternative has an impact on reporting overhead as well as beam indication and thereby also the DCI payload. In </w:t>
      </w:r>
      <w:r w:rsidR="002F3BC7">
        <w:fldChar w:fldCharType="begin"/>
      </w:r>
      <w:r w:rsidR="002F3BC7">
        <w:instrText xml:space="preserve"> REF _Ref485374943 \r \h </w:instrText>
      </w:r>
      <w:r w:rsidR="002F3BC7">
        <w:fldChar w:fldCharType="separate"/>
      </w:r>
      <w:r w:rsidR="002F3BC7">
        <w:t>[7]</w:t>
      </w:r>
      <w:r w:rsidR="002F3BC7">
        <w:fldChar w:fldCharType="end"/>
      </w:r>
      <w:r w:rsidR="002F3BC7">
        <w:t xml:space="preserve"> </w:t>
      </w:r>
      <w:r w:rsidR="00E278AA">
        <w:t xml:space="preserve">it was shown by an example that </w:t>
      </w:r>
      <w:r w:rsidR="00E278AA" w:rsidRPr="00D42FD1">
        <w:t>for equal flexibility</w:t>
      </w:r>
      <w:r w:rsidR="00E278AA">
        <w:t xml:space="preserve"> in the gNB Tx beam </w:t>
      </w:r>
      <w:r w:rsidR="00E278AA">
        <w:lastRenderedPageBreak/>
        <w:t>selection</w:t>
      </w:r>
      <w:r w:rsidR="00E278AA" w:rsidRPr="00D42FD1">
        <w:t xml:space="preserve">, the </w:t>
      </w:r>
      <w:r w:rsidR="00E278AA">
        <w:t xml:space="preserve">reporting </w:t>
      </w:r>
      <w:r w:rsidR="00E278AA" w:rsidRPr="00D42FD1">
        <w:t xml:space="preserve">feedback overhead for </w:t>
      </w:r>
      <w:r w:rsidR="00E278AA">
        <w:t>A1</w:t>
      </w:r>
      <w:r w:rsidR="00E278AA" w:rsidRPr="00D42FD1">
        <w:t xml:space="preserve"> is larger than </w:t>
      </w:r>
      <w:r w:rsidR="00E278AA">
        <w:t>for A2</w:t>
      </w:r>
      <w:r w:rsidR="00E278AA" w:rsidRPr="00D42FD1">
        <w:t>.</w:t>
      </w:r>
      <w:r w:rsidR="00C13234">
        <w:t xml:space="preserve"> B</w:t>
      </w:r>
      <w:r w:rsidR="00E278AA">
        <w:t xml:space="preserve">eam indication appears easier for A1 since </w:t>
      </w:r>
      <w:r w:rsidR="00297EE0">
        <w:t xml:space="preserve">an entire set of beams can be indicated by a single set identity while A2 requires that the beam(s) selected in each group needs to be indicated to the UE. Furthermore, with A1, </w:t>
      </w:r>
      <w:r w:rsidR="00E278AA">
        <w:t xml:space="preserve">the gNB can switch between different beams </w:t>
      </w:r>
      <w:r w:rsidR="00C13234">
        <w:t>within a set</w:t>
      </w:r>
      <w:r w:rsidR="00A2600F">
        <w:t xml:space="preserve"> while</w:t>
      </w:r>
      <w:r w:rsidR="00C13234">
        <w:t xml:space="preserve"> </w:t>
      </w:r>
      <w:r w:rsidR="00E278AA">
        <w:t xml:space="preserve">the UE </w:t>
      </w:r>
      <w:r w:rsidR="00C13234">
        <w:t>still being able to receive them simultaneously.</w:t>
      </w:r>
      <w:r w:rsidR="00A2600F">
        <w:t xml:space="preserve"> However, if the gNB only uses a subset of beams in a set, it could be useful for the UE to optimize its RX beams for this subset instead of the entire set. For example, if the UE has two panels and reports the best gNB beam per UE panel but the gNB only uses one beam in the data transmission, the UE might want to </w:t>
      </w:r>
      <w:r w:rsidR="002F3BC7">
        <w:t>adjust</w:t>
      </w:r>
      <w:r w:rsidR="00A2600F">
        <w:t xml:space="preserve"> the RX beam in the panel corresponding to the </w:t>
      </w:r>
      <w:r w:rsidR="00297EE0">
        <w:t>beam that is not used</w:t>
      </w:r>
      <w:r w:rsidR="002F3BC7">
        <w:t xml:space="preserve"> by the gNB</w:t>
      </w:r>
      <w:r w:rsidR="00297EE0">
        <w:t xml:space="preserve"> to the beam</w:t>
      </w:r>
      <w:r w:rsidR="002F3BC7">
        <w:t xml:space="preserve"> that is used</w:t>
      </w:r>
      <w:r w:rsidR="00A2600F">
        <w:t xml:space="preserve">. </w:t>
      </w:r>
      <w:r w:rsidR="00525C3A">
        <w:t>With A2, i</w:t>
      </w:r>
      <w:r w:rsidR="00E278AA">
        <w:t>f the gN</w:t>
      </w:r>
      <w:r w:rsidR="00525C3A">
        <w:t>B switches beam within a group</w:t>
      </w:r>
      <w:r w:rsidR="00E278AA">
        <w:t>, a beam indication is needed so that the UE can adjust its Rx beam accordingly. The relative merits of A1 and A2 with regard to overhead are dependent on the size of sets/groups as well as the number of sets/groups and is FFS.</w:t>
      </w:r>
    </w:p>
    <w:p w14:paraId="6BB0729F" w14:textId="026EE827" w:rsidR="005A7F51" w:rsidRDefault="005A7F51" w:rsidP="0081165C">
      <w:r>
        <w:rPr>
          <w:lang w:val="en-US"/>
        </w:rPr>
        <w:t xml:space="preserve">Beam grouping may be useful for selecting BPLs to be used for spatial multiplexing, since the grouping reflects which gNB beams can be received simultaneously by the UE. In A1, </w:t>
      </w:r>
      <w:r>
        <w:t xml:space="preserve">Tx beams can be chosen from within a set to achieve </w:t>
      </w:r>
      <w:r>
        <w:rPr>
          <w:lang w:val="en-US"/>
        </w:rPr>
        <w:t>spatial multiplexing</w:t>
      </w:r>
      <w:r>
        <w:t xml:space="preserve">. The UE can define sets such that a set contains beams that are suitable for high-rank </w:t>
      </w:r>
      <w:r>
        <w:rPr>
          <w:lang w:val="en-US"/>
        </w:rPr>
        <w:t>spatial multiplexing</w:t>
      </w:r>
      <w:r>
        <w:t xml:space="preserve">. For example, instead of building a </w:t>
      </w:r>
      <w:r w:rsidR="004006F4">
        <w:t>group</w:t>
      </w:r>
      <w:r>
        <w:t xml:space="preserve"> of Tx beams from the beam pairs for each UE panel that have the highest RSRP, the UE can define sets based on Tx beams that result in high capacity. However, the results presented in this contribution does not </w:t>
      </w:r>
      <w:r w:rsidR="00CE58B8">
        <w:t xml:space="preserve">indicate any significant gains with this approach. Furthermore, </w:t>
      </w:r>
      <w:r w:rsidR="00CE58B8">
        <w:rPr>
          <w:lang w:val="en-US"/>
        </w:rPr>
        <w:t>the UE does not know if the beams in a set can actually be transmitted simultaneously by the TRP</w:t>
      </w:r>
    </w:p>
    <w:p w14:paraId="023FBFCC" w14:textId="5C84BF9B" w:rsidR="005C6649" w:rsidRDefault="00CE58B8" w:rsidP="009426A7">
      <w:pPr>
        <w:rPr>
          <w:b/>
        </w:rPr>
      </w:pPr>
      <w:r>
        <w:t xml:space="preserve">Since beam grouping increases signalling and reporting overhead as well as complicates beam indication while gains being unclear, we </w:t>
      </w:r>
      <w:r w:rsidR="00A2025C">
        <w:t>propose</w:t>
      </w:r>
      <w:r>
        <w:t xml:space="preserve"> that NR should adopt the simplest grouping approach possible in the first release and leave potential enhancements for future releases.</w:t>
      </w:r>
      <w:r w:rsidR="00A2025C">
        <w:t xml:space="preserve"> </w:t>
      </w:r>
      <w:r w:rsidR="00B4241B">
        <w:t>One such approach could</w:t>
      </w:r>
      <w:r w:rsidR="002F05AE">
        <w:t xml:space="preserve"> be</w:t>
      </w:r>
      <w:r w:rsidR="00B4241B">
        <w:t xml:space="preserve"> to support reporting of one set with</w:t>
      </w:r>
      <w:r w:rsidR="002F05AE">
        <w:t xml:space="preserve"> up to 4 beams, .i.e., M = 1 and N = 4. Furthermore, we propose that the number of groups, L, and beams, Q, to report can be UE-specifically configured by the gNB. We also propose that beam group reporting can be UE-specifically configured ON/OFF by the gNB.</w:t>
      </w:r>
      <w:r w:rsidR="00616F1A">
        <w:t xml:space="preserve"> It is FFS whether and how beam indication relates to group based reporting, including signalling details</w:t>
      </w:r>
      <w:r w:rsidR="00675820">
        <w:t>. We summarize in the following proposals:</w:t>
      </w:r>
    </w:p>
    <w:p w14:paraId="1E91B32D" w14:textId="6787207F" w:rsidR="005C6649" w:rsidRDefault="00675820" w:rsidP="005C6649">
      <w:pPr>
        <w:pStyle w:val="Proposal"/>
        <w:tabs>
          <w:tab w:val="num" w:pos="1701"/>
        </w:tabs>
      </w:pPr>
      <w:bookmarkStart w:id="4" w:name="_Toc481755540"/>
      <w:r>
        <w:t>Adopt a simple beam group reporting</w:t>
      </w:r>
      <w:r w:rsidR="00E603BA">
        <w:t xml:space="preserve"> approach</w:t>
      </w:r>
      <w:r>
        <w:t xml:space="preserve"> in the first release and leave potential enhancements for future releases</w:t>
      </w:r>
      <w:r w:rsidR="005C6649">
        <w:t>.</w:t>
      </w:r>
      <w:bookmarkEnd w:id="4"/>
      <w:r>
        <w:t xml:space="preserve"> </w:t>
      </w:r>
      <w:r w:rsidR="00E603BA">
        <w:t>The first release could s</w:t>
      </w:r>
      <w:r>
        <w:t>upport reporting of up to one set with up to 4 beams, .i.e., M = 1 and N = 4.</w:t>
      </w:r>
    </w:p>
    <w:p w14:paraId="5AA3B5D8" w14:textId="4E060CA1" w:rsidR="00675820" w:rsidRDefault="00675820" w:rsidP="005C6649">
      <w:pPr>
        <w:pStyle w:val="Proposal"/>
        <w:tabs>
          <w:tab w:val="num" w:pos="1701"/>
        </w:tabs>
      </w:pPr>
      <w:r>
        <w:t xml:space="preserve">The number of </w:t>
      </w:r>
      <w:r w:rsidR="008E3117">
        <w:t>sets</w:t>
      </w:r>
      <w:r>
        <w:t>, L, and beams, Q, to report can be UE-specifically configured by the gNB</w:t>
      </w:r>
      <w:r w:rsidR="00E603BA">
        <w:t>.</w:t>
      </w:r>
    </w:p>
    <w:p w14:paraId="7D3FA940" w14:textId="3C02BF44" w:rsidR="00675820" w:rsidRDefault="00675820" w:rsidP="005C6649">
      <w:pPr>
        <w:pStyle w:val="Proposal"/>
        <w:tabs>
          <w:tab w:val="num" w:pos="1701"/>
        </w:tabs>
      </w:pPr>
      <w:r>
        <w:t>Beam group reporting can be UE-specifically configured ON/OFF by the gNB</w:t>
      </w:r>
      <w:r w:rsidR="00E603BA">
        <w:t>.</w:t>
      </w:r>
    </w:p>
    <w:p w14:paraId="56935C7E" w14:textId="7CAB10CB" w:rsidR="00675820" w:rsidRDefault="00675820" w:rsidP="005C6649">
      <w:pPr>
        <w:pStyle w:val="Proposal"/>
        <w:tabs>
          <w:tab w:val="num" w:pos="1701"/>
        </w:tabs>
      </w:pPr>
      <w:r>
        <w:t>It is FFS whether and how beam indication relates to group based reporting, including signalling details</w:t>
      </w:r>
      <w:r w:rsidR="00E603BA">
        <w:t>.</w:t>
      </w:r>
    </w:p>
    <w:p w14:paraId="30414597" w14:textId="77777777" w:rsidR="005C6649" w:rsidRPr="005C6649" w:rsidRDefault="005C6649" w:rsidP="004E6122">
      <w:pPr>
        <w:pStyle w:val="Proposal"/>
        <w:numPr>
          <w:ilvl w:val="0"/>
          <w:numId w:val="0"/>
        </w:numPr>
        <w:ind w:left="1701" w:hanging="1701"/>
      </w:pPr>
    </w:p>
    <w:p w14:paraId="56327F3C" w14:textId="77777777" w:rsidR="00C01F33" w:rsidRPr="00CE0424" w:rsidRDefault="00C01F33" w:rsidP="003A0E41">
      <w:pPr>
        <w:pStyle w:val="Heading1"/>
      </w:pPr>
      <w:r w:rsidRPr="00CE0424">
        <w:t>Conclusion</w:t>
      </w:r>
      <w:r w:rsidR="00AE2FEB">
        <w:t>s</w:t>
      </w:r>
    </w:p>
    <w:p w14:paraId="24F5BABE" w14:textId="571E391F" w:rsidR="004E6122" w:rsidRDefault="004E6122" w:rsidP="004E6122">
      <w:pPr>
        <w:pStyle w:val="BodyText"/>
      </w:pPr>
      <w:r>
        <w:t>In this contribution we made the following observations</w:t>
      </w:r>
      <w:r w:rsidRPr="00CE0424">
        <w:t>:</w:t>
      </w:r>
    </w:p>
    <w:p w14:paraId="7E0046D5" w14:textId="55FCEE29" w:rsidR="00E603BA" w:rsidRDefault="004E6122" w:rsidP="009426A7">
      <w:pPr>
        <w:pStyle w:val="Observation"/>
        <w:numPr>
          <w:ilvl w:val="0"/>
          <w:numId w:val="21"/>
        </w:numPr>
        <w:ind w:left="1701" w:hanging="1701"/>
      </w:pPr>
      <w:r w:rsidRPr="00C66182">
        <w:rPr>
          <w:bCs w:val="0"/>
        </w:rPr>
        <w:fldChar w:fldCharType="begin"/>
      </w:r>
      <w:r>
        <w:instrText xml:space="preserve"> TOC \n \h \z \t "Observation,1" </w:instrText>
      </w:r>
      <w:r w:rsidRPr="009426A7">
        <w:rPr>
          <w:bCs w:val="0"/>
        </w:rPr>
        <w:fldChar w:fldCharType="separate"/>
      </w:r>
      <w:r w:rsidR="00E603BA">
        <w:t>For UE antenna configurations with two panels, spectral efficiency and channel rank can  be enhanced with group-based reporting in very high SNR scenarios assuming ideal conditions.</w:t>
      </w:r>
    </w:p>
    <w:p w14:paraId="6BAA5E13" w14:textId="77777777" w:rsidR="00E603BA" w:rsidRDefault="00E603BA" w:rsidP="00E603BA">
      <w:pPr>
        <w:pStyle w:val="Observation"/>
      </w:pPr>
      <w:r>
        <w:t>In moderate SNR scenarios, group-based reporting is not expected to give significant performance gains.</w:t>
      </w:r>
    </w:p>
    <w:p w14:paraId="23AACA11" w14:textId="2ECDEF57" w:rsidR="004E6122" w:rsidRPr="009426A7" w:rsidRDefault="004E6122">
      <w:pPr>
        <w:pStyle w:val="TOC1"/>
        <w:rPr>
          <w:rFonts w:asciiTheme="minorHAnsi" w:eastAsiaTheme="minorEastAsia" w:hAnsiTheme="minorHAnsi" w:cstheme="minorBidi"/>
          <w:b w:val="0"/>
          <w:sz w:val="22"/>
          <w:lang w:val="en-GB" w:eastAsia="en-US"/>
        </w:rPr>
      </w:pPr>
    </w:p>
    <w:p w14:paraId="4AD2EA9B" w14:textId="63497C13" w:rsidR="004E6122" w:rsidRDefault="004E6122" w:rsidP="004E6122">
      <w:pPr>
        <w:pStyle w:val="BodyText"/>
        <w:rPr>
          <w:noProof/>
        </w:rPr>
      </w:pPr>
      <w:r>
        <w:rPr>
          <w:bCs/>
          <w:noProof/>
          <w:szCs w:val="22"/>
          <w:lang w:val="en-US"/>
        </w:rPr>
        <w:fldChar w:fldCharType="end"/>
      </w:r>
      <w:r>
        <w:t>Based on the discussion in this contribution</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3EBAD7F" w14:textId="77777777" w:rsidR="00E603BA" w:rsidRDefault="00E603BA" w:rsidP="009426A7">
      <w:pPr>
        <w:pStyle w:val="Proposal"/>
        <w:numPr>
          <w:ilvl w:val="0"/>
          <w:numId w:val="22"/>
        </w:numPr>
        <w:tabs>
          <w:tab w:val="clear" w:pos="1304"/>
          <w:tab w:val="clear" w:pos="1701"/>
        </w:tabs>
        <w:ind w:left="1701" w:hanging="1701"/>
      </w:pPr>
      <w:r>
        <w:t>Adopt a simple beam group reporting approach in the first release and leave potential enhancements for future releases. The first release could support reporting of up to one set with up to 4 beams, .i.e., M = 1 and N = 4.</w:t>
      </w:r>
    </w:p>
    <w:p w14:paraId="336BCB76" w14:textId="53B59944" w:rsidR="00E603BA" w:rsidRDefault="00E603BA" w:rsidP="00E603BA">
      <w:pPr>
        <w:pStyle w:val="Proposal"/>
        <w:tabs>
          <w:tab w:val="num" w:pos="1701"/>
        </w:tabs>
      </w:pPr>
      <w:r>
        <w:t xml:space="preserve">The number of </w:t>
      </w:r>
      <w:r w:rsidR="00063DC4">
        <w:t>sets</w:t>
      </w:r>
      <w:r>
        <w:t>, L, and beams, Q, to report can be UE-specifically configured by the gNB.</w:t>
      </w:r>
    </w:p>
    <w:p w14:paraId="49693E1D" w14:textId="77777777" w:rsidR="00E603BA" w:rsidRDefault="00E603BA" w:rsidP="00E603BA">
      <w:pPr>
        <w:pStyle w:val="Proposal"/>
        <w:tabs>
          <w:tab w:val="num" w:pos="1701"/>
        </w:tabs>
      </w:pPr>
      <w:r>
        <w:lastRenderedPageBreak/>
        <w:t>Beam group reporting can be UE-specifically configured ON/OFF by the gNB.</w:t>
      </w:r>
    </w:p>
    <w:p w14:paraId="6580CCFA" w14:textId="77777777" w:rsidR="00E603BA" w:rsidRDefault="00E603BA" w:rsidP="00E603BA">
      <w:pPr>
        <w:pStyle w:val="Proposal"/>
        <w:tabs>
          <w:tab w:val="num" w:pos="1701"/>
        </w:tabs>
      </w:pPr>
      <w:r>
        <w:t>It is FFS whether and how beam indication relates to group based reporting, including signalling details.</w:t>
      </w:r>
    </w:p>
    <w:p w14:paraId="6116A3BB" w14:textId="1529D54C" w:rsidR="004E6122" w:rsidRDefault="004E6122">
      <w:pPr>
        <w:pStyle w:val="TOC1"/>
        <w:rPr>
          <w:rFonts w:asciiTheme="minorHAnsi" w:eastAsiaTheme="minorEastAsia" w:hAnsiTheme="minorHAnsi" w:cstheme="minorBidi"/>
          <w:b w:val="0"/>
          <w:sz w:val="22"/>
          <w:lang w:eastAsia="en-US"/>
        </w:rPr>
      </w:pPr>
      <w:r>
        <w:rPr>
          <w:rFonts w:asciiTheme="minorHAnsi" w:eastAsiaTheme="minorEastAsia" w:hAnsiTheme="minorHAnsi" w:cstheme="minorBidi"/>
          <w:b w:val="0"/>
          <w:sz w:val="22"/>
          <w:lang w:eastAsia="en-US"/>
        </w:rPr>
        <w:tab/>
      </w:r>
    </w:p>
    <w:p w14:paraId="60B357CF" w14:textId="2237D259" w:rsidR="00C01F33" w:rsidRPr="00790B99" w:rsidRDefault="004E6122" w:rsidP="00E5689D">
      <w:pPr>
        <w:pStyle w:val="BodyText"/>
        <w:rPr>
          <w:b/>
          <w:bCs/>
        </w:rPr>
      </w:pPr>
      <w:r>
        <w:rPr>
          <w:b/>
          <w:bCs/>
        </w:rPr>
        <w:fldChar w:fldCharType="end"/>
      </w:r>
    </w:p>
    <w:p w14:paraId="5B3C850D" w14:textId="77777777" w:rsidR="00F507D1" w:rsidRPr="00CE0424" w:rsidRDefault="00F507D1" w:rsidP="00CE0424">
      <w:pPr>
        <w:pStyle w:val="Heading1"/>
      </w:pPr>
      <w:bookmarkStart w:id="5" w:name="_In-sequence_SDU_delivery"/>
      <w:bookmarkEnd w:id="5"/>
      <w:r w:rsidRPr="00CE0424">
        <w:t>References</w:t>
      </w:r>
    </w:p>
    <w:p w14:paraId="257DD0B1" w14:textId="77777777" w:rsidR="00E54812" w:rsidRPr="00E54812" w:rsidRDefault="00E54812" w:rsidP="00E54812">
      <w:pPr>
        <w:pStyle w:val="Reference"/>
      </w:pPr>
      <w:bookmarkStart w:id="6" w:name="_Ref481680389"/>
      <w:r w:rsidRPr="00E54812">
        <w:t>R1-1610891, WF on Group-based Beam Management, ZTE, ZTE Microelectronics, ASTRI, Nokia, ASB, CATT</w:t>
      </w:r>
      <w:bookmarkEnd w:id="6"/>
    </w:p>
    <w:p w14:paraId="55343EB4" w14:textId="3CC56A23" w:rsidR="00B21840" w:rsidRDefault="00B21840" w:rsidP="00B21840">
      <w:pPr>
        <w:pStyle w:val="Reference"/>
      </w:pPr>
      <w:bookmarkStart w:id="7" w:name="_Ref481680672"/>
      <w:r w:rsidRPr="00B21840">
        <w:t>R1-1704401</w:t>
      </w:r>
      <w:r>
        <w:t xml:space="preserve">, </w:t>
      </w:r>
      <w:r w:rsidRPr="00B21840">
        <w:t>Beam grouping evaluation for beam management</w:t>
      </w:r>
      <w:r>
        <w:t xml:space="preserve">, </w:t>
      </w:r>
      <w:r w:rsidRPr="00B21840">
        <w:t>ZTE, ZTE Microelectronics</w:t>
      </w:r>
      <w:bookmarkEnd w:id="7"/>
    </w:p>
    <w:p w14:paraId="7C8583B3" w14:textId="446D02DE" w:rsidR="008510CF" w:rsidRDefault="008510CF" w:rsidP="00B21840">
      <w:pPr>
        <w:pStyle w:val="Reference"/>
      </w:pPr>
      <w:bookmarkStart w:id="8" w:name="_Ref490067110"/>
      <w:r>
        <w:t>R1-1711021, Performance of b</w:t>
      </w:r>
      <w:r w:rsidRPr="00B30A9F">
        <w:t>eam grouping</w:t>
      </w:r>
      <w:r>
        <w:t>, Ericsson</w:t>
      </w:r>
      <w:bookmarkEnd w:id="8"/>
    </w:p>
    <w:p w14:paraId="2513CDED" w14:textId="10517663" w:rsidR="000A29FC" w:rsidRDefault="000A29FC" w:rsidP="00B21840">
      <w:pPr>
        <w:pStyle w:val="Reference"/>
      </w:pPr>
      <w:bookmarkStart w:id="9" w:name="_Ref490129182"/>
      <w:r w:rsidRPr="00422297">
        <w:t>R1-1711022</w:t>
      </w:r>
      <w:r>
        <w:t xml:space="preserve">, </w:t>
      </w:r>
      <w:r w:rsidRPr="00061098">
        <w:t>On beam grouping</w:t>
      </w:r>
      <w:r>
        <w:t>, Ericsson</w:t>
      </w:r>
      <w:bookmarkEnd w:id="9"/>
    </w:p>
    <w:p w14:paraId="3BC9304B" w14:textId="65998B14" w:rsidR="003A7EF3" w:rsidRDefault="00D370D5" w:rsidP="00DC43A4">
      <w:pPr>
        <w:pStyle w:val="Reference"/>
      </w:pPr>
      <w:bookmarkStart w:id="10" w:name="_Ref481697463"/>
      <w:r w:rsidRPr="00D370D5">
        <w:t>R1-1701826</w:t>
      </w:r>
      <w:r>
        <w:t xml:space="preserve">, </w:t>
      </w:r>
      <w:r w:rsidRPr="00D370D5">
        <w:t>Evaluation assumptions for Phase 2 NR MIMO system level calibration</w:t>
      </w:r>
      <w:r>
        <w:t xml:space="preserve">, </w:t>
      </w:r>
      <w:r w:rsidRPr="00D370D5">
        <w:t>ZTE, ZTE Microelectronics</w:t>
      </w:r>
      <w:bookmarkEnd w:id="10"/>
    </w:p>
    <w:p w14:paraId="4E795E40" w14:textId="5AB610BA" w:rsidR="00A74D19" w:rsidRDefault="00A74D19" w:rsidP="00A74D19">
      <w:pPr>
        <w:pStyle w:val="Reference"/>
      </w:pPr>
      <w:bookmarkStart w:id="11" w:name="_Ref481778901"/>
      <w:r w:rsidRPr="00A74D19">
        <w:t>R1-1706846</w:t>
      </w:r>
      <w:r>
        <w:t xml:space="preserve">, </w:t>
      </w:r>
      <w:r w:rsidRPr="00A74D19">
        <w:t>Calibration results for Phase 1 NR MIMO system level calibration</w:t>
      </w:r>
      <w:r>
        <w:t xml:space="preserve">, </w:t>
      </w:r>
      <w:r w:rsidRPr="00A74D19">
        <w:t>ZTE, ZTE Microelectronics</w:t>
      </w:r>
      <w:bookmarkEnd w:id="11"/>
    </w:p>
    <w:p w14:paraId="0E270E87" w14:textId="77777777" w:rsidR="002F3BC7" w:rsidRDefault="002F3BC7" w:rsidP="002F3BC7">
      <w:pPr>
        <w:pStyle w:val="Reference"/>
      </w:pPr>
      <w:bookmarkStart w:id="12" w:name="_Ref485374943"/>
      <w:r w:rsidRPr="00327997">
        <w:t>R1-</w:t>
      </w:r>
      <w:r w:rsidRPr="0075751B">
        <w:t>17</w:t>
      </w:r>
      <w:r>
        <w:t>02675, “On group-based reporting of Tx beams”, Ericsson, February 2017.</w:t>
      </w:r>
      <w:bookmarkEnd w:id="12"/>
    </w:p>
    <w:p w14:paraId="15AC89A3" w14:textId="77777777" w:rsidR="002F3BC7" w:rsidRPr="00CE0424" w:rsidRDefault="002F3BC7" w:rsidP="009426A7">
      <w:pPr>
        <w:pStyle w:val="Reference"/>
        <w:numPr>
          <w:ilvl w:val="0"/>
          <w:numId w:val="0"/>
        </w:numPr>
        <w:ind w:left="567"/>
      </w:pPr>
    </w:p>
    <w:sectPr w:rsidR="002F3BC7" w:rsidRPr="00CE0424" w:rsidSect="00C02A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11AF1" w14:textId="77777777" w:rsidR="0081215F" w:rsidRDefault="0081215F">
      <w:r>
        <w:separator/>
      </w:r>
    </w:p>
  </w:endnote>
  <w:endnote w:type="continuationSeparator" w:id="0">
    <w:p w14:paraId="49B8CBC2" w14:textId="77777777" w:rsidR="0081215F" w:rsidRDefault="0081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DD1A7" w14:textId="77777777" w:rsidR="00B4119D" w:rsidRDefault="00B411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7874D9F" w:rsidR="00920BF2" w:rsidRPr="00B4119D" w:rsidRDefault="00920BF2" w:rsidP="00B411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CB0ED" w14:textId="77777777" w:rsidR="00B4119D" w:rsidRDefault="00B411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6E283" w14:textId="77777777" w:rsidR="0081215F" w:rsidRDefault="0081215F">
      <w:r>
        <w:separator/>
      </w:r>
    </w:p>
  </w:footnote>
  <w:footnote w:type="continuationSeparator" w:id="0">
    <w:p w14:paraId="20EF7508" w14:textId="77777777" w:rsidR="0081215F" w:rsidRDefault="0081215F">
      <w:r>
        <w:continuationSeparator/>
      </w:r>
    </w:p>
  </w:footnote>
  <w:footnote w:id="1">
    <w:p w14:paraId="0AC61AA4" w14:textId="0A3B827D" w:rsidR="0033268C" w:rsidRPr="005D6BE3" w:rsidRDefault="0033268C">
      <w:pPr>
        <w:pStyle w:val="FootnoteText"/>
        <w:rPr>
          <w:lang w:val="en-US"/>
        </w:rPr>
      </w:pPr>
      <w:r>
        <w:rPr>
          <w:rStyle w:val="FootnoteReference"/>
        </w:rPr>
        <w:footnoteRef/>
      </w:r>
      <w:r>
        <w:t xml:space="preserve"> </w:t>
      </w:r>
      <w:r w:rsidR="005D6BE3" w:rsidRPr="005D6BE3">
        <w:rPr>
          <w:lang w:val="en-US"/>
        </w:rPr>
        <w:t xml:space="preserve">In the InH scenario definition, the TRP has only panel </w:t>
      </w:r>
      <w:r w:rsidR="005D6BE3">
        <w:rPr>
          <w:lang w:val="en-US"/>
        </w:rPr>
        <w:t>but</w:t>
      </w:r>
      <w:r w:rsidR="005D6BE3" w:rsidRPr="005D6BE3">
        <w:rPr>
          <w:lang w:val="en-US"/>
        </w:rPr>
        <w:t xml:space="preserve"> we have used four panels in this contribution.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CB97512" w:rsidR="00920BF2" w:rsidRPr="00B4119D" w:rsidRDefault="00920BF2" w:rsidP="00B411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91CC5" w14:textId="77777777" w:rsidR="00B4119D" w:rsidRDefault="00B411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03CFE" w14:textId="77777777" w:rsidR="00B4119D" w:rsidRDefault="00B411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3734F1F"/>
    <w:multiLevelType w:val="singleLevel"/>
    <w:tmpl w:val="450C4D68"/>
    <w:lvl w:ilvl="0">
      <w:start w:val="1"/>
      <w:numFmt w:val="bullet"/>
      <w:lvlText w:val=""/>
      <w:lvlJc w:val="left"/>
      <w:pPr>
        <w:tabs>
          <w:tab w:val="num" w:pos="357"/>
        </w:tabs>
        <w:ind w:left="357" w:hanging="357"/>
      </w:pPr>
      <w:rPr>
        <w:rFonts w:ascii="Symbol" w:hAnsi="Symbol" w:hint="default"/>
      </w:rPr>
    </w:lvl>
  </w:abstractNum>
  <w:abstractNum w:abstractNumId="18"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6"/>
  </w:num>
  <w:num w:numId="16">
    <w:abstractNumId w:val="12"/>
  </w:num>
  <w:num w:numId="17">
    <w:abstractNumId w:val="17"/>
  </w:num>
  <w:num w:numId="18">
    <w:abstractNumId w:val="9"/>
    <w:lvlOverride w:ilvl="0">
      <w:startOverride w:val="1"/>
    </w:lvlOverride>
  </w:num>
  <w:num w:numId="19">
    <w:abstractNumId w:val="4"/>
  </w:num>
  <w:num w:numId="20">
    <w:abstractNumId w:val="18"/>
  </w:num>
  <w:num w:numId="21">
    <w:abstractNumId w:val="14"/>
    <w:lvlOverride w:ilvl="0">
      <w:startOverride w:val="1"/>
    </w:lvlOverride>
  </w:num>
  <w:num w:numId="22">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17"/>
    <w:rsid w:val="00011B28"/>
    <w:rsid w:val="00015D15"/>
    <w:rsid w:val="0002564D"/>
    <w:rsid w:val="00025CA6"/>
    <w:rsid w:val="00025ECA"/>
    <w:rsid w:val="00030B30"/>
    <w:rsid w:val="000325B8"/>
    <w:rsid w:val="00034C15"/>
    <w:rsid w:val="00036BA1"/>
    <w:rsid w:val="00042009"/>
    <w:rsid w:val="000422E2"/>
    <w:rsid w:val="00042F22"/>
    <w:rsid w:val="000444EF"/>
    <w:rsid w:val="00052A07"/>
    <w:rsid w:val="000534E3"/>
    <w:rsid w:val="00055F72"/>
    <w:rsid w:val="0005606A"/>
    <w:rsid w:val="00057117"/>
    <w:rsid w:val="000616E7"/>
    <w:rsid w:val="00063DC4"/>
    <w:rsid w:val="0006487E"/>
    <w:rsid w:val="00065E1A"/>
    <w:rsid w:val="00077E5F"/>
    <w:rsid w:val="0008036A"/>
    <w:rsid w:val="00081AE6"/>
    <w:rsid w:val="000855EB"/>
    <w:rsid w:val="00085B52"/>
    <w:rsid w:val="000866F2"/>
    <w:rsid w:val="0009009F"/>
    <w:rsid w:val="00091557"/>
    <w:rsid w:val="000924C1"/>
    <w:rsid w:val="000924F0"/>
    <w:rsid w:val="00093474"/>
    <w:rsid w:val="000947B9"/>
    <w:rsid w:val="0009510F"/>
    <w:rsid w:val="00095976"/>
    <w:rsid w:val="000A1B7B"/>
    <w:rsid w:val="000A29FC"/>
    <w:rsid w:val="000A56F2"/>
    <w:rsid w:val="000B2719"/>
    <w:rsid w:val="000B30D7"/>
    <w:rsid w:val="000B3A8F"/>
    <w:rsid w:val="000B4AB9"/>
    <w:rsid w:val="000B58C3"/>
    <w:rsid w:val="000B61E9"/>
    <w:rsid w:val="000C116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814"/>
    <w:rsid w:val="0011325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27AB"/>
    <w:rsid w:val="001659C1"/>
    <w:rsid w:val="00172C8B"/>
    <w:rsid w:val="00173444"/>
    <w:rsid w:val="00173A8E"/>
    <w:rsid w:val="0018143F"/>
    <w:rsid w:val="00182102"/>
    <w:rsid w:val="00190AC1"/>
    <w:rsid w:val="0019341A"/>
    <w:rsid w:val="00197DF9"/>
    <w:rsid w:val="001A1987"/>
    <w:rsid w:val="001A2564"/>
    <w:rsid w:val="001A4375"/>
    <w:rsid w:val="001A6173"/>
    <w:rsid w:val="001A6CBA"/>
    <w:rsid w:val="001B0D97"/>
    <w:rsid w:val="001B5A5D"/>
    <w:rsid w:val="001C0386"/>
    <w:rsid w:val="001C1CE5"/>
    <w:rsid w:val="001C3D2A"/>
    <w:rsid w:val="001C4CC9"/>
    <w:rsid w:val="001C71AA"/>
    <w:rsid w:val="001D0D75"/>
    <w:rsid w:val="001D51BA"/>
    <w:rsid w:val="001D6342"/>
    <w:rsid w:val="001D6D53"/>
    <w:rsid w:val="001E2560"/>
    <w:rsid w:val="001E472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2DB"/>
    <w:rsid w:val="00223FCB"/>
    <w:rsid w:val="002252C3"/>
    <w:rsid w:val="00225C54"/>
    <w:rsid w:val="00230765"/>
    <w:rsid w:val="002319E4"/>
    <w:rsid w:val="00235632"/>
    <w:rsid w:val="00235872"/>
    <w:rsid w:val="00241559"/>
    <w:rsid w:val="002435B3"/>
    <w:rsid w:val="002451ED"/>
    <w:rsid w:val="002458EB"/>
    <w:rsid w:val="002500C8"/>
    <w:rsid w:val="00253D9F"/>
    <w:rsid w:val="00254DE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92E"/>
    <w:rsid w:val="00296227"/>
    <w:rsid w:val="00296F44"/>
    <w:rsid w:val="0029777D"/>
    <w:rsid w:val="00297EE0"/>
    <w:rsid w:val="00297FBC"/>
    <w:rsid w:val="002A055E"/>
    <w:rsid w:val="002A1D4E"/>
    <w:rsid w:val="002A2869"/>
    <w:rsid w:val="002B24D6"/>
    <w:rsid w:val="002C0788"/>
    <w:rsid w:val="002C41E6"/>
    <w:rsid w:val="002C52F0"/>
    <w:rsid w:val="002D012B"/>
    <w:rsid w:val="002D071A"/>
    <w:rsid w:val="002D34B2"/>
    <w:rsid w:val="002D7637"/>
    <w:rsid w:val="002E07EE"/>
    <w:rsid w:val="002E17F2"/>
    <w:rsid w:val="002E7CAE"/>
    <w:rsid w:val="002F05AE"/>
    <w:rsid w:val="002F2771"/>
    <w:rsid w:val="002F37A9"/>
    <w:rsid w:val="002F3BC7"/>
    <w:rsid w:val="002F5798"/>
    <w:rsid w:val="002F6288"/>
    <w:rsid w:val="00301CE6"/>
    <w:rsid w:val="0030256B"/>
    <w:rsid w:val="0030501F"/>
    <w:rsid w:val="00307BA1"/>
    <w:rsid w:val="00311702"/>
    <w:rsid w:val="00311E82"/>
    <w:rsid w:val="00313FD6"/>
    <w:rsid w:val="003143BD"/>
    <w:rsid w:val="003203ED"/>
    <w:rsid w:val="00322C9F"/>
    <w:rsid w:val="00324D23"/>
    <w:rsid w:val="00325648"/>
    <w:rsid w:val="00327997"/>
    <w:rsid w:val="00331751"/>
    <w:rsid w:val="00331B7B"/>
    <w:rsid w:val="0033268C"/>
    <w:rsid w:val="00334579"/>
    <w:rsid w:val="00335858"/>
    <w:rsid w:val="00336BDA"/>
    <w:rsid w:val="00342BD7"/>
    <w:rsid w:val="00346DB5"/>
    <w:rsid w:val="003477B1"/>
    <w:rsid w:val="00350750"/>
    <w:rsid w:val="00356A14"/>
    <w:rsid w:val="00357380"/>
    <w:rsid w:val="003602D9"/>
    <w:rsid w:val="003604CE"/>
    <w:rsid w:val="003607AB"/>
    <w:rsid w:val="00370E47"/>
    <w:rsid w:val="003742AC"/>
    <w:rsid w:val="00374ADB"/>
    <w:rsid w:val="00377CE1"/>
    <w:rsid w:val="00385BF0"/>
    <w:rsid w:val="003939FF"/>
    <w:rsid w:val="00397A06"/>
    <w:rsid w:val="003A0E41"/>
    <w:rsid w:val="003A2223"/>
    <w:rsid w:val="003A2A0F"/>
    <w:rsid w:val="003A45A1"/>
    <w:rsid w:val="003A5B0A"/>
    <w:rsid w:val="003A6BAC"/>
    <w:rsid w:val="003A7EF3"/>
    <w:rsid w:val="003B03A8"/>
    <w:rsid w:val="003B0614"/>
    <w:rsid w:val="003B159C"/>
    <w:rsid w:val="003B369F"/>
    <w:rsid w:val="003B36A3"/>
    <w:rsid w:val="003B7FE5"/>
    <w:rsid w:val="003C11C8"/>
    <w:rsid w:val="003C2702"/>
    <w:rsid w:val="003C7806"/>
    <w:rsid w:val="003D109F"/>
    <w:rsid w:val="003D2478"/>
    <w:rsid w:val="003D3C45"/>
    <w:rsid w:val="003D47B2"/>
    <w:rsid w:val="003D5B1F"/>
    <w:rsid w:val="003E06CD"/>
    <w:rsid w:val="003E15FA"/>
    <w:rsid w:val="003E55E4"/>
    <w:rsid w:val="003E74E3"/>
    <w:rsid w:val="003F05C7"/>
    <w:rsid w:val="003F2CD4"/>
    <w:rsid w:val="003F6731"/>
    <w:rsid w:val="003F6BBE"/>
    <w:rsid w:val="004000E8"/>
    <w:rsid w:val="004006F4"/>
    <w:rsid w:val="0040287B"/>
    <w:rsid w:val="00402E2B"/>
    <w:rsid w:val="004033B5"/>
    <w:rsid w:val="004050EA"/>
    <w:rsid w:val="0040512B"/>
    <w:rsid w:val="00405CA5"/>
    <w:rsid w:val="00407CD3"/>
    <w:rsid w:val="00410134"/>
    <w:rsid w:val="00410B72"/>
    <w:rsid w:val="00410F18"/>
    <w:rsid w:val="0041263E"/>
    <w:rsid w:val="00413AAC"/>
    <w:rsid w:val="00413D08"/>
    <w:rsid w:val="00413E92"/>
    <w:rsid w:val="00420DDC"/>
    <w:rsid w:val="00421105"/>
    <w:rsid w:val="004242F4"/>
    <w:rsid w:val="00425ACE"/>
    <w:rsid w:val="00427248"/>
    <w:rsid w:val="00437447"/>
    <w:rsid w:val="00441782"/>
    <w:rsid w:val="00441A92"/>
    <w:rsid w:val="00444F56"/>
    <w:rsid w:val="00445B14"/>
    <w:rsid w:val="00446488"/>
    <w:rsid w:val="004517AA"/>
    <w:rsid w:val="00452448"/>
    <w:rsid w:val="00452CAC"/>
    <w:rsid w:val="00457565"/>
    <w:rsid w:val="00457B71"/>
    <w:rsid w:val="004669E2"/>
    <w:rsid w:val="00470C31"/>
    <w:rsid w:val="004734D0"/>
    <w:rsid w:val="0047556B"/>
    <w:rsid w:val="00477768"/>
    <w:rsid w:val="00492BC5"/>
    <w:rsid w:val="004964F1"/>
    <w:rsid w:val="004A0339"/>
    <w:rsid w:val="004A16BC"/>
    <w:rsid w:val="004A2B94"/>
    <w:rsid w:val="004B7C0C"/>
    <w:rsid w:val="004C3898"/>
    <w:rsid w:val="004D36B1"/>
    <w:rsid w:val="004D6F53"/>
    <w:rsid w:val="004D7EBD"/>
    <w:rsid w:val="004E2680"/>
    <w:rsid w:val="004E28F9"/>
    <w:rsid w:val="004E462E"/>
    <w:rsid w:val="004E56DC"/>
    <w:rsid w:val="004E6122"/>
    <w:rsid w:val="004E76F4"/>
    <w:rsid w:val="004F0B4E"/>
    <w:rsid w:val="004F0B6C"/>
    <w:rsid w:val="004F2078"/>
    <w:rsid w:val="004F4DA3"/>
    <w:rsid w:val="004F51BB"/>
    <w:rsid w:val="00505623"/>
    <w:rsid w:val="00506557"/>
    <w:rsid w:val="0050677A"/>
    <w:rsid w:val="00507DEA"/>
    <w:rsid w:val="005108D8"/>
    <w:rsid w:val="005116F9"/>
    <w:rsid w:val="005153A7"/>
    <w:rsid w:val="005219CF"/>
    <w:rsid w:val="00525C3A"/>
    <w:rsid w:val="00527A26"/>
    <w:rsid w:val="00534B59"/>
    <w:rsid w:val="00536759"/>
    <w:rsid w:val="00537C62"/>
    <w:rsid w:val="00546970"/>
    <w:rsid w:val="00554192"/>
    <w:rsid w:val="00554E19"/>
    <w:rsid w:val="0056121F"/>
    <w:rsid w:val="00561F45"/>
    <w:rsid w:val="00564E6C"/>
    <w:rsid w:val="005669EB"/>
    <w:rsid w:val="0056707D"/>
    <w:rsid w:val="00572505"/>
    <w:rsid w:val="00575DA6"/>
    <w:rsid w:val="00582809"/>
    <w:rsid w:val="0058798C"/>
    <w:rsid w:val="005900FA"/>
    <w:rsid w:val="005935A4"/>
    <w:rsid w:val="005948C2"/>
    <w:rsid w:val="00595DCA"/>
    <w:rsid w:val="00595F36"/>
    <w:rsid w:val="0059779B"/>
    <w:rsid w:val="005A037F"/>
    <w:rsid w:val="005A209A"/>
    <w:rsid w:val="005A662D"/>
    <w:rsid w:val="005A7F51"/>
    <w:rsid w:val="005B35D7"/>
    <w:rsid w:val="005B392A"/>
    <w:rsid w:val="005B3AA3"/>
    <w:rsid w:val="005B6A8B"/>
    <w:rsid w:val="005B6F83"/>
    <w:rsid w:val="005C6649"/>
    <w:rsid w:val="005C74FB"/>
    <w:rsid w:val="005D1602"/>
    <w:rsid w:val="005D6BE3"/>
    <w:rsid w:val="005E385F"/>
    <w:rsid w:val="005E5B81"/>
    <w:rsid w:val="005F2CB1"/>
    <w:rsid w:val="005F3025"/>
    <w:rsid w:val="005F618C"/>
    <w:rsid w:val="005F70BD"/>
    <w:rsid w:val="0060283C"/>
    <w:rsid w:val="00604F14"/>
    <w:rsid w:val="00607C3D"/>
    <w:rsid w:val="00611B83"/>
    <w:rsid w:val="00613257"/>
    <w:rsid w:val="00616F1A"/>
    <w:rsid w:val="00620A71"/>
    <w:rsid w:val="00620D80"/>
    <w:rsid w:val="006234A6"/>
    <w:rsid w:val="00630001"/>
    <w:rsid w:val="006311B3"/>
    <w:rsid w:val="0063284C"/>
    <w:rsid w:val="00636398"/>
    <w:rsid w:val="006368D3"/>
    <w:rsid w:val="00636B69"/>
    <w:rsid w:val="006377EC"/>
    <w:rsid w:val="0064151F"/>
    <w:rsid w:val="00641533"/>
    <w:rsid w:val="0064208D"/>
    <w:rsid w:val="006427C5"/>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820"/>
    <w:rsid w:val="00675C72"/>
    <w:rsid w:val="006771F9"/>
    <w:rsid w:val="006776D7"/>
    <w:rsid w:val="00681003"/>
    <w:rsid w:val="006817C9"/>
    <w:rsid w:val="00683ECE"/>
    <w:rsid w:val="00691703"/>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D7758"/>
    <w:rsid w:val="006E062C"/>
    <w:rsid w:val="006E1514"/>
    <w:rsid w:val="006E2288"/>
    <w:rsid w:val="006E28B7"/>
    <w:rsid w:val="006E3310"/>
    <w:rsid w:val="006E4235"/>
    <w:rsid w:val="006E4E39"/>
    <w:rsid w:val="006E565E"/>
    <w:rsid w:val="006E673D"/>
    <w:rsid w:val="006E7D3B"/>
    <w:rsid w:val="006F1B70"/>
    <w:rsid w:val="006F341D"/>
    <w:rsid w:val="006F3CDE"/>
    <w:rsid w:val="006F57D3"/>
    <w:rsid w:val="006F58D4"/>
    <w:rsid w:val="0070346E"/>
    <w:rsid w:val="00704EDB"/>
    <w:rsid w:val="00706101"/>
    <w:rsid w:val="00707072"/>
    <w:rsid w:val="00707D61"/>
    <w:rsid w:val="00712287"/>
    <w:rsid w:val="00712304"/>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2F35"/>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3A58"/>
    <w:rsid w:val="007A43A6"/>
    <w:rsid w:val="007A58A6"/>
    <w:rsid w:val="007B20A5"/>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0B8F"/>
    <w:rsid w:val="007F18C5"/>
    <w:rsid w:val="007F1E17"/>
    <w:rsid w:val="007F5B66"/>
    <w:rsid w:val="007F75D5"/>
    <w:rsid w:val="00803FAE"/>
    <w:rsid w:val="0080605F"/>
    <w:rsid w:val="00807786"/>
    <w:rsid w:val="0081165C"/>
    <w:rsid w:val="00811FCB"/>
    <w:rsid w:val="0081215F"/>
    <w:rsid w:val="00813E37"/>
    <w:rsid w:val="008158D6"/>
    <w:rsid w:val="00817196"/>
    <w:rsid w:val="008235DB"/>
    <w:rsid w:val="00824AB4"/>
    <w:rsid w:val="00825C42"/>
    <w:rsid w:val="00825D25"/>
    <w:rsid w:val="00827D6F"/>
    <w:rsid w:val="008376AC"/>
    <w:rsid w:val="008403CA"/>
    <w:rsid w:val="008444E8"/>
    <w:rsid w:val="00844E80"/>
    <w:rsid w:val="0084516E"/>
    <w:rsid w:val="00846FE7"/>
    <w:rsid w:val="008510CF"/>
    <w:rsid w:val="00856911"/>
    <w:rsid w:val="008640FF"/>
    <w:rsid w:val="008677FD"/>
    <w:rsid w:val="008706D4"/>
    <w:rsid w:val="00870F8A"/>
    <w:rsid w:val="008719A4"/>
    <w:rsid w:val="00871D23"/>
    <w:rsid w:val="00874312"/>
    <w:rsid w:val="0087437C"/>
    <w:rsid w:val="00875CD7"/>
    <w:rsid w:val="00876B4D"/>
    <w:rsid w:val="00877F18"/>
    <w:rsid w:val="008801BA"/>
    <w:rsid w:val="0088098D"/>
    <w:rsid w:val="008854F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EC4"/>
    <w:rsid w:val="008C4958"/>
    <w:rsid w:val="008C4BAA"/>
    <w:rsid w:val="008C62FA"/>
    <w:rsid w:val="008C6AE8"/>
    <w:rsid w:val="008C7573"/>
    <w:rsid w:val="008D028E"/>
    <w:rsid w:val="008D1B74"/>
    <w:rsid w:val="008D34F1"/>
    <w:rsid w:val="008D39D8"/>
    <w:rsid w:val="008D6D1A"/>
    <w:rsid w:val="008E065E"/>
    <w:rsid w:val="008E0927"/>
    <w:rsid w:val="008E1909"/>
    <w:rsid w:val="008E3117"/>
    <w:rsid w:val="008F1EAB"/>
    <w:rsid w:val="008F33DC"/>
    <w:rsid w:val="008F477F"/>
    <w:rsid w:val="00902350"/>
    <w:rsid w:val="0090336B"/>
    <w:rsid w:val="009035F5"/>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26A7"/>
    <w:rsid w:val="00943742"/>
    <w:rsid w:val="00945C05"/>
    <w:rsid w:val="00946945"/>
    <w:rsid w:val="00947713"/>
    <w:rsid w:val="00950DE7"/>
    <w:rsid w:val="00951DB8"/>
    <w:rsid w:val="00952A24"/>
    <w:rsid w:val="00953920"/>
    <w:rsid w:val="00953D47"/>
    <w:rsid w:val="0095681E"/>
    <w:rsid w:val="009572D4"/>
    <w:rsid w:val="00961855"/>
    <w:rsid w:val="00961921"/>
    <w:rsid w:val="0096430A"/>
    <w:rsid w:val="0096554B"/>
    <w:rsid w:val="0096584A"/>
    <w:rsid w:val="00971F08"/>
    <w:rsid w:val="0097603D"/>
    <w:rsid w:val="00976949"/>
    <w:rsid w:val="00977361"/>
    <w:rsid w:val="00980477"/>
    <w:rsid w:val="00985253"/>
    <w:rsid w:val="009853B3"/>
    <w:rsid w:val="00985BFD"/>
    <w:rsid w:val="00990630"/>
    <w:rsid w:val="00991761"/>
    <w:rsid w:val="009949F0"/>
    <w:rsid w:val="00994DCA"/>
    <w:rsid w:val="009960EC"/>
    <w:rsid w:val="009970DD"/>
    <w:rsid w:val="00997CB2"/>
    <w:rsid w:val="009A0FBA"/>
    <w:rsid w:val="009A1601"/>
    <w:rsid w:val="009A18A7"/>
    <w:rsid w:val="009A462D"/>
    <w:rsid w:val="009A5518"/>
    <w:rsid w:val="009A5758"/>
    <w:rsid w:val="009A5CBA"/>
    <w:rsid w:val="009A7126"/>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025C"/>
    <w:rsid w:val="00A2193B"/>
    <w:rsid w:val="00A22C03"/>
    <w:rsid w:val="00A2351A"/>
    <w:rsid w:val="00A2600F"/>
    <w:rsid w:val="00A264A9"/>
    <w:rsid w:val="00A27785"/>
    <w:rsid w:val="00A30187"/>
    <w:rsid w:val="00A3448A"/>
    <w:rsid w:val="00A36297"/>
    <w:rsid w:val="00A41E2B"/>
    <w:rsid w:val="00A43492"/>
    <w:rsid w:val="00A45B74"/>
    <w:rsid w:val="00A52E1D"/>
    <w:rsid w:val="00A61499"/>
    <w:rsid w:val="00A62A77"/>
    <w:rsid w:val="00A63483"/>
    <w:rsid w:val="00A657D7"/>
    <w:rsid w:val="00A65A53"/>
    <w:rsid w:val="00A660AC"/>
    <w:rsid w:val="00A67E6C"/>
    <w:rsid w:val="00A71B99"/>
    <w:rsid w:val="00A739D0"/>
    <w:rsid w:val="00A74D19"/>
    <w:rsid w:val="00A761D4"/>
    <w:rsid w:val="00A770ED"/>
    <w:rsid w:val="00A77EC4"/>
    <w:rsid w:val="00A85C6C"/>
    <w:rsid w:val="00A85EF6"/>
    <w:rsid w:val="00A92879"/>
    <w:rsid w:val="00A92959"/>
    <w:rsid w:val="00A9442A"/>
    <w:rsid w:val="00AA016F"/>
    <w:rsid w:val="00AA1ED6"/>
    <w:rsid w:val="00AA51D6"/>
    <w:rsid w:val="00AB0BC8"/>
    <w:rsid w:val="00AB11CA"/>
    <w:rsid w:val="00AB14D9"/>
    <w:rsid w:val="00AB4AB8"/>
    <w:rsid w:val="00AB655E"/>
    <w:rsid w:val="00AC007F"/>
    <w:rsid w:val="00AC2ECD"/>
    <w:rsid w:val="00AC3119"/>
    <w:rsid w:val="00AC49FB"/>
    <w:rsid w:val="00AC583E"/>
    <w:rsid w:val="00AC5A10"/>
    <w:rsid w:val="00AC7789"/>
    <w:rsid w:val="00AD0AA3"/>
    <w:rsid w:val="00AD3F94"/>
    <w:rsid w:val="00AD4A5A"/>
    <w:rsid w:val="00AE0BAB"/>
    <w:rsid w:val="00AE27AC"/>
    <w:rsid w:val="00AE2FEB"/>
    <w:rsid w:val="00AE3D79"/>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1840"/>
    <w:rsid w:val="00B21D66"/>
    <w:rsid w:val="00B2763F"/>
    <w:rsid w:val="00B27AAC"/>
    <w:rsid w:val="00B30929"/>
    <w:rsid w:val="00B30A9F"/>
    <w:rsid w:val="00B372AA"/>
    <w:rsid w:val="00B37802"/>
    <w:rsid w:val="00B40445"/>
    <w:rsid w:val="00B4119D"/>
    <w:rsid w:val="00B41888"/>
    <w:rsid w:val="00B4241B"/>
    <w:rsid w:val="00B45A52"/>
    <w:rsid w:val="00B46175"/>
    <w:rsid w:val="00B4727F"/>
    <w:rsid w:val="00B664C7"/>
    <w:rsid w:val="00B739F6"/>
    <w:rsid w:val="00B75A51"/>
    <w:rsid w:val="00B76B12"/>
    <w:rsid w:val="00B81A6C"/>
    <w:rsid w:val="00B85DE5"/>
    <w:rsid w:val="00B90F73"/>
    <w:rsid w:val="00B93B59"/>
    <w:rsid w:val="00B9406A"/>
    <w:rsid w:val="00BA2280"/>
    <w:rsid w:val="00BA2A08"/>
    <w:rsid w:val="00BA56D2"/>
    <w:rsid w:val="00BA76E0"/>
    <w:rsid w:val="00BB2A25"/>
    <w:rsid w:val="00BB3B8A"/>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3234"/>
    <w:rsid w:val="00C14D4B"/>
    <w:rsid w:val="00C154BB"/>
    <w:rsid w:val="00C279B5"/>
    <w:rsid w:val="00C27C45"/>
    <w:rsid w:val="00C3719D"/>
    <w:rsid w:val="00C44F09"/>
    <w:rsid w:val="00C54995"/>
    <w:rsid w:val="00C54D41"/>
    <w:rsid w:val="00C60783"/>
    <w:rsid w:val="00C64672"/>
    <w:rsid w:val="00C6618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41D6"/>
    <w:rsid w:val="00CB421D"/>
    <w:rsid w:val="00CB7170"/>
    <w:rsid w:val="00CC040E"/>
    <w:rsid w:val="00CC111F"/>
    <w:rsid w:val="00CC2011"/>
    <w:rsid w:val="00CC3EA0"/>
    <w:rsid w:val="00CC7B45"/>
    <w:rsid w:val="00CD1188"/>
    <w:rsid w:val="00CD2ED1"/>
    <w:rsid w:val="00CD337B"/>
    <w:rsid w:val="00CE0424"/>
    <w:rsid w:val="00CE219C"/>
    <w:rsid w:val="00CE4A56"/>
    <w:rsid w:val="00CE58B8"/>
    <w:rsid w:val="00CE7561"/>
    <w:rsid w:val="00CF1354"/>
    <w:rsid w:val="00CF3B1F"/>
    <w:rsid w:val="00CF3BF6"/>
    <w:rsid w:val="00CF4C58"/>
    <w:rsid w:val="00CF625B"/>
    <w:rsid w:val="00CF687E"/>
    <w:rsid w:val="00D03023"/>
    <w:rsid w:val="00D0349B"/>
    <w:rsid w:val="00D10249"/>
    <w:rsid w:val="00D115C3"/>
    <w:rsid w:val="00D11897"/>
    <w:rsid w:val="00D12C5D"/>
    <w:rsid w:val="00D13135"/>
    <w:rsid w:val="00D13E4E"/>
    <w:rsid w:val="00D1428B"/>
    <w:rsid w:val="00D152AD"/>
    <w:rsid w:val="00D239A7"/>
    <w:rsid w:val="00D23F47"/>
    <w:rsid w:val="00D36E71"/>
    <w:rsid w:val="00D370D5"/>
    <w:rsid w:val="00D37D87"/>
    <w:rsid w:val="00D404BC"/>
    <w:rsid w:val="00D40B33"/>
    <w:rsid w:val="00D41472"/>
    <w:rsid w:val="00D4318F"/>
    <w:rsid w:val="00D438BF"/>
    <w:rsid w:val="00D440F8"/>
    <w:rsid w:val="00D546FF"/>
    <w:rsid w:val="00D55AD5"/>
    <w:rsid w:val="00D576CA"/>
    <w:rsid w:val="00D61AF5"/>
    <w:rsid w:val="00D63BE5"/>
    <w:rsid w:val="00D652B5"/>
    <w:rsid w:val="00D66155"/>
    <w:rsid w:val="00D708B0"/>
    <w:rsid w:val="00D77B1D"/>
    <w:rsid w:val="00D8021F"/>
    <w:rsid w:val="00D80383"/>
    <w:rsid w:val="00D823C6"/>
    <w:rsid w:val="00D86CA3"/>
    <w:rsid w:val="00D871CE"/>
    <w:rsid w:val="00D9196D"/>
    <w:rsid w:val="00D92982"/>
    <w:rsid w:val="00DA305E"/>
    <w:rsid w:val="00DA5396"/>
    <w:rsid w:val="00DA5417"/>
    <w:rsid w:val="00DA56E8"/>
    <w:rsid w:val="00DB0A9F"/>
    <w:rsid w:val="00DB377D"/>
    <w:rsid w:val="00DC2D36"/>
    <w:rsid w:val="00DC43A4"/>
    <w:rsid w:val="00DC53EF"/>
    <w:rsid w:val="00DE5608"/>
    <w:rsid w:val="00DE58D0"/>
    <w:rsid w:val="00DE654F"/>
    <w:rsid w:val="00DF0B6E"/>
    <w:rsid w:val="00DF15E0"/>
    <w:rsid w:val="00DF37A0"/>
    <w:rsid w:val="00DF3F33"/>
    <w:rsid w:val="00E110E7"/>
    <w:rsid w:val="00E11B20"/>
    <w:rsid w:val="00E17FA2"/>
    <w:rsid w:val="00E22330"/>
    <w:rsid w:val="00E278AA"/>
    <w:rsid w:val="00E27E0E"/>
    <w:rsid w:val="00E30B5A"/>
    <w:rsid w:val="00E3123D"/>
    <w:rsid w:val="00E31461"/>
    <w:rsid w:val="00E31D43"/>
    <w:rsid w:val="00E32608"/>
    <w:rsid w:val="00E34188"/>
    <w:rsid w:val="00E34B6E"/>
    <w:rsid w:val="00E35559"/>
    <w:rsid w:val="00E357F5"/>
    <w:rsid w:val="00E36BA2"/>
    <w:rsid w:val="00E3723A"/>
    <w:rsid w:val="00E37860"/>
    <w:rsid w:val="00E40DF1"/>
    <w:rsid w:val="00E446F1"/>
    <w:rsid w:val="00E46886"/>
    <w:rsid w:val="00E47AEF"/>
    <w:rsid w:val="00E53B75"/>
    <w:rsid w:val="00E54812"/>
    <w:rsid w:val="00E54E3B"/>
    <w:rsid w:val="00E5689D"/>
    <w:rsid w:val="00E57565"/>
    <w:rsid w:val="00E603BA"/>
    <w:rsid w:val="00E60F8B"/>
    <w:rsid w:val="00E63838"/>
    <w:rsid w:val="00E64434"/>
    <w:rsid w:val="00E64B80"/>
    <w:rsid w:val="00E67C51"/>
    <w:rsid w:val="00E72EFC"/>
    <w:rsid w:val="00E7323C"/>
    <w:rsid w:val="00E758EC"/>
    <w:rsid w:val="00E8234C"/>
    <w:rsid w:val="00E83AA9"/>
    <w:rsid w:val="00E85928"/>
    <w:rsid w:val="00E87822"/>
    <w:rsid w:val="00E90395"/>
    <w:rsid w:val="00E90E49"/>
    <w:rsid w:val="00E917F9"/>
    <w:rsid w:val="00E9291C"/>
    <w:rsid w:val="00E93FFE"/>
    <w:rsid w:val="00E94F8A"/>
    <w:rsid w:val="00EA3C77"/>
    <w:rsid w:val="00EA4B16"/>
    <w:rsid w:val="00EA7A41"/>
    <w:rsid w:val="00EB077B"/>
    <w:rsid w:val="00EB4EA2"/>
    <w:rsid w:val="00EB5381"/>
    <w:rsid w:val="00EB6C72"/>
    <w:rsid w:val="00EC27C6"/>
    <w:rsid w:val="00EC4207"/>
    <w:rsid w:val="00EC5653"/>
    <w:rsid w:val="00EC71CE"/>
    <w:rsid w:val="00EC77A7"/>
    <w:rsid w:val="00ED1006"/>
    <w:rsid w:val="00ED7F42"/>
    <w:rsid w:val="00EE1A2E"/>
    <w:rsid w:val="00EE59C8"/>
    <w:rsid w:val="00EF18FE"/>
    <w:rsid w:val="00EF5787"/>
    <w:rsid w:val="00EF60D0"/>
    <w:rsid w:val="00F0528D"/>
    <w:rsid w:val="00F06929"/>
    <w:rsid w:val="00F06C67"/>
    <w:rsid w:val="00F06DFD"/>
    <w:rsid w:val="00F071D1"/>
    <w:rsid w:val="00F07533"/>
    <w:rsid w:val="00F10629"/>
    <w:rsid w:val="00F15FA5"/>
    <w:rsid w:val="00F16983"/>
    <w:rsid w:val="00F209B7"/>
    <w:rsid w:val="00F221ED"/>
    <w:rsid w:val="00F2376F"/>
    <w:rsid w:val="00F243D8"/>
    <w:rsid w:val="00F30828"/>
    <w:rsid w:val="00F313D6"/>
    <w:rsid w:val="00F367A2"/>
    <w:rsid w:val="00F40F0C"/>
    <w:rsid w:val="00F4766C"/>
    <w:rsid w:val="00F5060E"/>
    <w:rsid w:val="00F507D1"/>
    <w:rsid w:val="00F519CE"/>
    <w:rsid w:val="00F51ADA"/>
    <w:rsid w:val="00F607C5"/>
    <w:rsid w:val="00F60DEA"/>
    <w:rsid w:val="00F6302A"/>
    <w:rsid w:val="00F64C2B"/>
    <w:rsid w:val="00F651BE"/>
    <w:rsid w:val="00F67F53"/>
    <w:rsid w:val="00F703BE"/>
    <w:rsid w:val="00F71971"/>
    <w:rsid w:val="00F71F69"/>
    <w:rsid w:val="00F72B72"/>
    <w:rsid w:val="00F74BB9"/>
    <w:rsid w:val="00F75582"/>
    <w:rsid w:val="00F75EF9"/>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07F"/>
    <w:rsid w:val="00FC7429"/>
    <w:rsid w:val="00FD07F6"/>
    <w:rsid w:val="00FD1EC8"/>
    <w:rsid w:val="00FD2D78"/>
    <w:rsid w:val="00FD3DF4"/>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E06C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E06C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E06C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E06CD"/>
    <w:pPr>
      <w:numPr>
        <w:ilvl w:val="2"/>
      </w:numPr>
      <w:spacing w:before="120"/>
      <w:outlineLvl w:val="2"/>
    </w:pPr>
    <w:rPr>
      <w:sz w:val="24"/>
      <w:szCs w:val="28"/>
    </w:rPr>
  </w:style>
  <w:style w:type="paragraph" w:styleId="Heading4">
    <w:name w:val="heading 4"/>
    <w:basedOn w:val="Heading3"/>
    <w:next w:val="Normal"/>
    <w:qFormat/>
    <w:rsid w:val="003E06CD"/>
    <w:pPr>
      <w:numPr>
        <w:ilvl w:val="3"/>
      </w:numPr>
      <w:outlineLvl w:val="3"/>
    </w:pPr>
    <w:rPr>
      <w:szCs w:val="24"/>
    </w:rPr>
  </w:style>
  <w:style w:type="paragraph" w:styleId="Heading5">
    <w:name w:val="heading 5"/>
    <w:basedOn w:val="Heading4"/>
    <w:next w:val="Normal"/>
    <w:qFormat/>
    <w:rsid w:val="003E06CD"/>
    <w:pPr>
      <w:numPr>
        <w:ilvl w:val="4"/>
      </w:numPr>
      <w:outlineLvl w:val="4"/>
    </w:pPr>
    <w:rPr>
      <w:sz w:val="22"/>
      <w:szCs w:val="22"/>
    </w:rPr>
  </w:style>
  <w:style w:type="paragraph" w:styleId="Heading6">
    <w:name w:val="heading 6"/>
    <w:basedOn w:val="Normal"/>
    <w:next w:val="Normal"/>
    <w:qFormat/>
    <w:rsid w:val="003E06CD"/>
    <w:pPr>
      <w:keepNext/>
      <w:keepLines/>
      <w:numPr>
        <w:ilvl w:val="5"/>
        <w:numId w:val="1"/>
      </w:numPr>
      <w:spacing w:before="120"/>
      <w:outlineLvl w:val="5"/>
    </w:pPr>
    <w:rPr>
      <w:rFonts w:cs="Arial"/>
    </w:rPr>
  </w:style>
  <w:style w:type="paragraph" w:styleId="Heading7">
    <w:name w:val="heading 7"/>
    <w:basedOn w:val="Normal"/>
    <w:next w:val="Normal"/>
    <w:qFormat/>
    <w:rsid w:val="003E06CD"/>
    <w:pPr>
      <w:keepNext/>
      <w:keepLines/>
      <w:numPr>
        <w:ilvl w:val="6"/>
        <w:numId w:val="1"/>
      </w:numPr>
      <w:spacing w:before="120"/>
      <w:outlineLvl w:val="6"/>
    </w:pPr>
    <w:rPr>
      <w:rFonts w:cs="Arial"/>
    </w:rPr>
  </w:style>
  <w:style w:type="paragraph" w:styleId="Heading8">
    <w:name w:val="heading 8"/>
    <w:basedOn w:val="Heading7"/>
    <w:next w:val="Normal"/>
    <w:qFormat/>
    <w:rsid w:val="003E06CD"/>
    <w:pPr>
      <w:numPr>
        <w:ilvl w:val="7"/>
      </w:numPr>
      <w:outlineLvl w:val="7"/>
    </w:pPr>
  </w:style>
  <w:style w:type="paragraph" w:styleId="Heading9">
    <w:name w:val="heading 9"/>
    <w:basedOn w:val="Heading8"/>
    <w:next w:val="Normal"/>
    <w:qFormat/>
    <w:rsid w:val="003E06C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E06CD"/>
    <w:pPr>
      <w:spacing w:before="180"/>
      <w:ind w:left="2693" w:hanging="2693"/>
    </w:pPr>
    <w:rPr>
      <w:b w:val="0"/>
      <w:bCs/>
    </w:rPr>
  </w:style>
  <w:style w:type="paragraph" w:styleId="TOC1">
    <w:name w:val="toc 1"/>
    <w:aliases w:val="Observation TOC2"/>
    <w:uiPriority w:val="39"/>
    <w:rsid w:val="003E06C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E06CD"/>
    <w:pPr>
      <w:keepNext/>
      <w:keepLines/>
      <w:spacing w:before="180"/>
      <w:jc w:val="center"/>
    </w:pPr>
  </w:style>
  <w:style w:type="paragraph" w:styleId="Caption">
    <w:name w:val="caption"/>
    <w:basedOn w:val="Normal"/>
    <w:next w:val="Normal"/>
    <w:qFormat/>
    <w:rsid w:val="003E06CD"/>
    <w:pPr>
      <w:spacing w:after="240"/>
      <w:jc w:val="center"/>
    </w:pPr>
    <w:rPr>
      <w:b/>
      <w:bCs/>
    </w:rPr>
  </w:style>
  <w:style w:type="paragraph" w:styleId="TOC5">
    <w:name w:val="toc 5"/>
    <w:aliases w:val="Observation TOC"/>
    <w:basedOn w:val="TOC4"/>
    <w:semiHidden/>
    <w:rsid w:val="003E06CD"/>
    <w:pPr>
      <w:tabs>
        <w:tab w:val="right" w:pos="1701"/>
      </w:tabs>
      <w:ind w:left="1701" w:hanging="1701"/>
    </w:pPr>
  </w:style>
  <w:style w:type="paragraph" w:styleId="TOC4">
    <w:name w:val="toc 4"/>
    <w:basedOn w:val="TOC3"/>
    <w:semiHidden/>
    <w:rsid w:val="003E06CD"/>
    <w:pPr>
      <w:ind w:left="1418" w:hanging="1418"/>
    </w:pPr>
  </w:style>
  <w:style w:type="paragraph" w:styleId="TOC3">
    <w:name w:val="toc 3"/>
    <w:basedOn w:val="TOC2"/>
    <w:semiHidden/>
    <w:rsid w:val="003E06CD"/>
    <w:pPr>
      <w:ind w:left="1134" w:hanging="1134"/>
    </w:pPr>
  </w:style>
  <w:style w:type="paragraph" w:styleId="TOC2">
    <w:name w:val="toc 2"/>
    <w:basedOn w:val="TOC1"/>
    <w:semiHidden/>
    <w:rsid w:val="003E06CD"/>
    <w:pPr>
      <w:keepNext w:val="0"/>
      <w:spacing w:before="0"/>
      <w:ind w:left="851" w:hanging="851"/>
    </w:pPr>
    <w:rPr>
      <w:szCs w:val="20"/>
    </w:rPr>
  </w:style>
  <w:style w:type="paragraph" w:styleId="Index2">
    <w:name w:val="index 2"/>
    <w:basedOn w:val="Index1"/>
    <w:semiHidden/>
    <w:rsid w:val="003E06CD"/>
    <w:pPr>
      <w:ind w:left="284"/>
    </w:pPr>
  </w:style>
  <w:style w:type="paragraph" w:styleId="Index1">
    <w:name w:val="index 1"/>
    <w:basedOn w:val="Normal"/>
    <w:semiHidden/>
    <w:rsid w:val="003E06CD"/>
    <w:pPr>
      <w:keepLines/>
      <w:spacing w:after="0"/>
    </w:pPr>
  </w:style>
  <w:style w:type="paragraph" w:styleId="DocumentMap">
    <w:name w:val="Document Map"/>
    <w:basedOn w:val="Normal"/>
    <w:semiHidden/>
    <w:rsid w:val="003E06CD"/>
    <w:pPr>
      <w:shd w:val="clear" w:color="auto" w:fill="000080"/>
    </w:pPr>
    <w:rPr>
      <w:rFonts w:ascii="Tahoma" w:hAnsi="Tahoma" w:cs="Tahoma"/>
    </w:rPr>
  </w:style>
  <w:style w:type="paragraph" w:styleId="ListNumber2">
    <w:name w:val="List Number 2"/>
    <w:basedOn w:val="ListNumber"/>
    <w:rsid w:val="003E06CD"/>
    <w:pPr>
      <w:ind w:left="851"/>
    </w:pPr>
  </w:style>
  <w:style w:type="paragraph" w:styleId="ListNumber">
    <w:name w:val="List Number"/>
    <w:basedOn w:val="List"/>
    <w:rsid w:val="003E06CD"/>
  </w:style>
  <w:style w:type="paragraph" w:styleId="List">
    <w:name w:val="List"/>
    <w:basedOn w:val="Normal"/>
    <w:rsid w:val="003E06CD"/>
    <w:pPr>
      <w:ind w:left="568" w:hanging="284"/>
    </w:pPr>
  </w:style>
  <w:style w:type="paragraph" w:styleId="Header">
    <w:name w:val="header"/>
    <w:rsid w:val="003E06C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06CD"/>
    <w:rPr>
      <w:b/>
      <w:bCs/>
      <w:position w:val="6"/>
      <w:sz w:val="16"/>
      <w:szCs w:val="16"/>
    </w:rPr>
  </w:style>
  <w:style w:type="paragraph" w:styleId="FootnoteText">
    <w:name w:val="footnote text"/>
    <w:basedOn w:val="Normal"/>
    <w:semiHidden/>
    <w:rsid w:val="003E06CD"/>
    <w:pPr>
      <w:keepLines/>
      <w:spacing w:after="0"/>
      <w:ind w:left="454" w:hanging="454"/>
    </w:pPr>
    <w:rPr>
      <w:sz w:val="16"/>
      <w:szCs w:val="16"/>
    </w:rPr>
  </w:style>
  <w:style w:type="paragraph" w:customStyle="1" w:styleId="3GPPHeader">
    <w:name w:val="3GPP_Header"/>
    <w:basedOn w:val="Normal"/>
    <w:qFormat/>
    <w:rsid w:val="003E06CD"/>
    <w:pPr>
      <w:tabs>
        <w:tab w:val="left" w:pos="1800"/>
        <w:tab w:val="right" w:pos="9360"/>
      </w:tabs>
      <w:spacing w:after="0"/>
    </w:pPr>
    <w:rPr>
      <w:rFonts w:ascii="Arial" w:hAnsi="Arial"/>
      <w:b/>
    </w:rPr>
  </w:style>
  <w:style w:type="paragraph" w:styleId="TOC9">
    <w:name w:val="toc 9"/>
    <w:basedOn w:val="TOC8"/>
    <w:semiHidden/>
    <w:rsid w:val="003E06CD"/>
    <w:pPr>
      <w:ind w:left="1418" w:hanging="1418"/>
    </w:pPr>
  </w:style>
  <w:style w:type="paragraph" w:styleId="TOC6">
    <w:name w:val="toc 6"/>
    <w:basedOn w:val="TOC5"/>
    <w:next w:val="Normal"/>
    <w:semiHidden/>
    <w:rsid w:val="003E06CD"/>
    <w:pPr>
      <w:ind w:left="1985" w:hanging="1985"/>
    </w:pPr>
  </w:style>
  <w:style w:type="paragraph" w:styleId="TOC7">
    <w:name w:val="toc 7"/>
    <w:basedOn w:val="TOC6"/>
    <w:next w:val="Normal"/>
    <w:semiHidden/>
    <w:rsid w:val="003E06CD"/>
    <w:pPr>
      <w:ind w:left="2268" w:hanging="2268"/>
    </w:pPr>
  </w:style>
  <w:style w:type="paragraph" w:styleId="ListBullet2">
    <w:name w:val="List Bullet 2"/>
    <w:basedOn w:val="ListBullet"/>
    <w:rsid w:val="003E06CD"/>
    <w:pPr>
      <w:numPr>
        <w:numId w:val="6"/>
      </w:numPr>
    </w:pPr>
  </w:style>
  <w:style w:type="paragraph" w:styleId="ListBullet">
    <w:name w:val="List Bullet"/>
    <w:basedOn w:val="BodyText"/>
    <w:rsid w:val="003E06CD"/>
    <w:pPr>
      <w:numPr>
        <w:numId w:val="5"/>
      </w:numPr>
    </w:pPr>
  </w:style>
  <w:style w:type="paragraph" w:styleId="ListBullet3">
    <w:name w:val="List Bullet 3"/>
    <w:basedOn w:val="ListBullet2"/>
    <w:rsid w:val="003E06CD"/>
    <w:pPr>
      <w:numPr>
        <w:numId w:val="7"/>
      </w:numPr>
    </w:pPr>
  </w:style>
  <w:style w:type="paragraph" w:customStyle="1" w:styleId="EQ">
    <w:name w:val="EQ"/>
    <w:basedOn w:val="Normal"/>
    <w:next w:val="Normal"/>
    <w:rsid w:val="003E06CD"/>
    <w:pPr>
      <w:keepLines/>
      <w:tabs>
        <w:tab w:val="center" w:pos="4536"/>
        <w:tab w:val="right" w:pos="9072"/>
      </w:tabs>
      <w:spacing w:after="180"/>
      <w:jc w:val="left"/>
    </w:pPr>
    <w:rPr>
      <w:noProof/>
      <w:lang w:eastAsia="en-US"/>
    </w:rPr>
  </w:style>
  <w:style w:type="paragraph" w:styleId="List2">
    <w:name w:val="List 2"/>
    <w:basedOn w:val="List"/>
    <w:rsid w:val="003E06CD"/>
    <w:pPr>
      <w:ind w:left="851"/>
    </w:pPr>
  </w:style>
  <w:style w:type="paragraph" w:styleId="List3">
    <w:name w:val="List 3"/>
    <w:basedOn w:val="List2"/>
    <w:rsid w:val="003E06CD"/>
    <w:pPr>
      <w:ind w:left="1135"/>
    </w:pPr>
  </w:style>
  <w:style w:type="paragraph" w:styleId="List4">
    <w:name w:val="List 4"/>
    <w:basedOn w:val="List3"/>
    <w:rsid w:val="003E06CD"/>
    <w:pPr>
      <w:ind w:left="1418"/>
    </w:pPr>
  </w:style>
  <w:style w:type="paragraph" w:styleId="List5">
    <w:name w:val="List 5"/>
    <w:basedOn w:val="List4"/>
    <w:rsid w:val="003E06CD"/>
    <w:pPr>
      <w:ind w:left="1702"/>
    </w:pPr>
  </w:style>
  <w:style w:type="paragraph" w:customStyle="1" w:styleId="EditorsNote">
    <w:name w:val="Editor's Note"/>
    <w:basedOn w:val="Normal"/>
    <w:rsid w:val="003E06CD"/>
    <w:pPr>
      <w:keepLines/>
      <w:spacing w:after="180"/>
      <w:ind w:left="1135" w:hanging="851"/>
      <w:jc w:val="left"/>
    </w:pPr>
    <w:rPr>
      <w:color w:val="FF0000"/>
      <w:lang w:eastAsia="en-US"/>
    </w:rPr>
  </w:style>
  <w:style w:type="paragraph" w:styleId="ListBullet4">
    <w:name w:val="List Bullet 4"/>
    <w:basedOn w:val="ListBullet3"/>
    <w:rsid w:val="003E06CD"/>
    <w:pPr>
      <w:numPr>
        <w:numId w:val="8"/>
      </w:numPr>
    </w:pPr>
  </w:style>
  <w:style w:type="paragraph" w:styleId="ListBullet5">
    <w:name w:val="List Bullet 5"/>
    <w:basedOn w:val="ListBullet4"/>
    <w:rsid w:val="003E06CD"/>
    <w:pPr>
      <w:numPr>
        <w:numId w:val="4"/>
      </w:numPr>
    </w:pPr>
  </w:style>
  <w:style w:type="paragraph" w:styleId="Footer">
    <w:name w:val="footer"/>
    <w:basedOn w:val="Header"/>
    <w:semiHidden/>
    <w:rsid w:val="003E06CD"/>
    <w:pPr>
      <w:jc w:val="center"/>
    </w:pPr>
    <w:rPr>
      <w:i/>
      <w:iCs/>
    </w:rPr>
  </w:style>
  <w:style w:type="paragraph" w:customStyle="1" w:styleId="Reference">
    <w:name w:val="Reference"/>
    <w:basedOn w:val="Normal"/>
    <w:qFormat/>
    <w:rsid w:val="003E06CD"/>
    <w:pPr>
      <w:numPr>
        <w:numId w:val="2"/>
      </w:numPr>
    </w:pPr>
  </w:style>
  <w:style w:type="paragraph" w:styleId="BalloonText">
    <w:name w:val="Balloon Text"/>
    <w:basedOn w:val="Normal"/>
    <w:semiHidden/>
    <w:rsid w:val="003E06CD"/>
    <w:rPr>
      <w:rFonts w:ascii="Tahoma" w:hAnsi="Tahoma" w:cs="Tahoma"/>
      <w:sz w:val="16"/>
      <w:szCs w:val="16"/>
    </w:rPr>
  </w:style>
  <w:style w:type="character" w:styleId="PageNumber">
    <w:name w:val="page number"/>
    <w:basedOn w:val="DefaultParagraphFont"/>
    <w:semiHidden/>
    <w:rsid w:val="003E06CD"/>
  </w:style>
  <w:style w:type="paragraph" w:styleId="BodyText">
    <w:name w:val="Body Text"/>
    <w:basedOn w:val="Normal"/>
    <w:link w:val="BodyTextChar"/>
    <w:qFormat/>
    <w:rsid w:val="003E06CD"/>
  </w:style>
  <w:style w:type="character" w:styleId="Hyperlink">
    <w:name w:val="Hyperlink"/>
    <w:uiPriority w:val="99"/>
    <w:rsid w:val="003E06CD"/>
    <w:rPr>
      <w:color w:val="0000FF"/>
      <w:u w:val="single"/>
      <w:lang w:val="en-GB"/>
    </w:rPr>
  </w:style>
  <w:style w:type="character" w:styleId="FollowedHyperlink">
    <w:name w:val="FollowedHyperlink"/>
    <w:semiHidden/>
    <w:rsid w:val="003E06CD"/>
    <w:rPr>
      <w:color w:val="FF0000"/>
      <w:u w:val="single"/>
    </w:rPr>
  </w:style>
  <w:style w:type="character" w:styleId="CommentReference">
    <w:name w:val="annotation reference"/>
    <w:semiHidden/>
    <w:rsid w:val="003E06CD"/>
    <w:rPr>
      <w:sz w:val="16"/>
      <w:szCs w:val="16"/>
    </w:rPr>
  </w:style>
  <w:style w:type="paragraph" w:styleId="CommentText">
    <w:name w:val="annotation text"/>
    <w:basedOn w:val="Normal"/>
    <w:semiHidden/>
    <w:rsid w:val="003E06CD"/>
  </w:style>
  <w:style w:type="paragraph" w:styleId="CommentSubject">
    <w:name w:val="annotation subject"/>
    <w:basedOn w:val="CommentText"/>
    <w:next w:val="CommentText"/>
    <w:semiHidden/>
    <w:rsid w:val="003E06CD"/>
    <w:rPr>
      <w:b/>
      <w:bCs/>
    </w:rPr>
  </w:style>
  <w:style w:type="character" w:customStyle="1" w:styleId="Heading1Char">
    <w:name w:val="Heading 1 Char"/>
    <w:link w:val="Heading1"/>
    <w:rsid w:val="003E06CD"/>
    <w:rPr>
      <w:rFonts w:ascii="Arial" w:hAnsi="Arial" w:cs="Arial"/>
      <w:sz w:val="32"/>
      <w:szCs w:val="36"/>
      <w:lang w:val="en-GB" w:eastAsia="zh-CN"/>
    </w:rPr>
  </w:style>
  <w:style w:type="paragraph" w:customStyle="1" w:styleId="B1">
    <w:name w:val="B1"/>
    <w:basedOn w:val="List"/>
    <w:rsid w:val="003E06CD"/>
    <w:pPr>
      <w:spacing w:after="180"/>
      <w:jc w:val="left"/>
    </w:pPr>
    <w:rPr>
      <w:lang w:eastAsia="en-US"/>
    </w:rPr>
  </w:style>
  <w:style w:type="paragraph" w:customStyle="1" w:styleId="B2">
    <w:name w:val="B2"/>
    <w:basedOn w:val="List2"/>
    <w:rsid w:val="003E06CD"/>
    <w:pPr>
      <w:spacing w:after="180"/>
      <w:jc w:val="left"/>
    </w:pPr>
    <w:rPr>
      <w:lang w:eastAsia="en-US"/>
    </w:rPr>
  </w:style>
  <w:style w:type="paragraph" w:customStyle="1" w:styleId="B3">
    <w:name w:val="B3"/>
    <w:basedOn w:val="List3"/>
    <w:rsid w:val="003E06CD"/>
    <w:pPr>
      <w:spacing w:after="180"/>
      <w:jc w:val="left"/>
    </w:pPr>
    <w:rPr>
      <w:lang w:eastAsia="en-US"/>
    </w:rPr>
  </w:style>
  <w:style w:type="paragraph" w:customStyle="1" w:styleId="B4">
    <w:name w:val="B4"/>
    <w:basedOn w:val="List4"/>
    <w:rsid w:val="003E06CD"/>
    <w:pPr>
      <w:spacing w:after="180"/>
      <w:jc w:val="left"/>
    </w:pPr>
    <w:rPr>
      <w:lang w:eastAsia="en-US"/>
    </w:rPr>
  </w:style>
  <w:style w:type="paragraph" w:customStyle="1" w:styleId="Proposal">
    <w:name w:val="Proposal"/>
    <w:basedOn w:val="Normal"/>
    <w:qFormat/>
    <w:rsid w:val="003E06CD"/>
    <w:pPr>
      <w:numPr>
        <w:numId w:val="3"/>
      </w:numPr>
      <w:tabs>
        <w:tab w:val="clear" w:pos="1304"/>
        <w:tab w:val="left" w:pos="1701"/>
      </w:tabs>
      <w:ind w:left="1701" w:hanging="1701"/>
    </w:pPr>
    <w:rPr>
      <w:b/>
      <w:bCs/>
    </w:rPr>
  </w:style>
  <w:style w:type="character" w:customStyle="1" w:styleId="BodyTextChar">
    <w:name w:val="Body Text Char"/>
    <w:link w:val="BodyText"/>
    <w:rsid w:val="003E06CD"/>
    <w:rPr>
      <w:rFonts w:ascii="Times New Roman" w:hAnsi="Times New Roman"/>
      <w:lang w:val="en-GB" w:eastAsia="zh-CN"/>
    </w:rPr>
  </w:style>
  <w:style w:type="paragraph" w:customStyle="1" w:styleId="B5">
    <w:name w:val="B5"/>
    <w:basedOn w:val="List5"/>
    <w:rsid w:val="003E06CD"/>
    <w:pPr>
      <w:spacing w:after="180"/>
      <w:jc w:val="left"/>
    </w:pPr>
    <w:rPr>
      <w:lang w:eastAsia="en-US"/>
    </w:rPr>
  </w:style>
  <w:style w:type="paragraph" w:customStyle="1" w:styleId="EX">
    <w:name w:val="EX"/>
    <w:basedOn w:val="Normal"/>
    <w:rsid w:val="003E06CD"/>
    <w:pPr>
      <w:keepLines/>
      <w:spacing w:after="180"/>
      <w:ind w:left="1702" w:hanging="1418"/>
      <w:jc w:val="left"/>
    </w:pPr>
    <w:rPr>
      <w:lang w:eastAsia="en-US"/>
    </w:rPr>
  </w:style>
  <w:style w:type="paragraph" w:customStyle="1" w:styleId="EW">
    <w:name w:val="EW"/>
    <w:basedOn w:val="EX"/>
    <w:rsid w:val="003E06CD"/>
    <w:pPr>
      <w:spacing w:after="0"/>
    </w:pPr>
  </w:style>
  <w:style w:type="paragraph" w:customStyle="1" w:styleId="TAL">
    <w:name w:val="TAL"/>
    <w:basedOn w:val="Normal"/>
    <w:rsid w:val="003E06CD"/>
    <w:pPr>
      <w:keepNext/>
      <w:keepLines/>
      <w:spacing w:after="0"/>
      <w:jc w:val="left"/>
    </w:pPr>
    <w:rPr>
      <w:sz w:val="18"/>
      <w:lang w:eastAsia="en-US"/>
    </w:rPr>
  </w:style>
  <w:style w:type="paragraph" w:customStyle="1" w:styleId="TAC">
    <w:name w:val="TAC"/>
    <w:basedOn w:val="TAL"/>
    <w:rsid w:val="003E06CD"/>
    <w:pPr>
      <w:jc w:val="center"/>
    </w:pPr>
  </w:style>
  <w:style w:type="paragraph" w:customStyle="1" w:styleId="TAH">
    <w:name w:val="TAH"/>
    <w:basedOn w:val="TAC"/>
    <w:rsid w:val="003E06CD"/>
    <w:rPr>
      <w:b/>
    </w:rPr>
  </w:style>
  <w:style w:type="paragraph" w:customStyle="1" w:styleId="TAN">
    <w:name w:val="TAN"/>
    <w:basedOn w:val="TAL"/>
    <w:rsid w:val="003E06CD"/>
    <w:pPr>
      <w:ind w:left="851" w:hanging="851"/>
    </w:pPr>
  </w:style>
  <w:style w:type="paragraph" w:customStyle="1" w:styleId="TAR">
    <w:name w:val="TAR"/>
    <w:basedOn w:val="TAL"/>
    <w:rsid w:val="003E06CD"/>
    <w:pPr>
      <w:jc w:val="right"/>
    </w:pPr>
  </w:style>
  <w:style w:type="paragraph" w:customStyle="1" w:styleId="TH">
    <w:name w:val="TH"/>
    <w:basedOn w:val="Normal"/>
    <w:rsid w:val="003E06CD"/>
    <w:pPr>
      <w:keepNext/>
      <w:keepLines/>
      <w:spacing w:before="60" w:after="180"/>
      <w:jc w:val="center"/>
    </w:pPr>
    <w:rPr>
      <w:b/>
      <w:lang w:eastAsia="en-US"/>
    </w:rPr>
  </w:style>
  <w:style w:type="paragraph" w:customStyle="1" w:styleId="TF">
    <w:name w:val="TF"/>
    <w:basedOn w:val="TH"/>
    <w:rsid w:val="003E06CD"/>
    <w:pPr>
      <w:keepNext w:val="0"/>
      <w:spacing w:before="0" w:after="240"/>
    </w:pPr>
  </w:style>
  <w:style w:type="paragraph" w:customStyle="1" w:styleId="TT">
    <w:name w:val="TT"/>
    <w:basedOn w:val="Heading1"/>
    <w:next w:val="Normal"/>
    <w:rsid w:val="003E06CD"/>
    <w:pPr>
      <w:numPr>
        <w:numId w:val="0"/>
      </w:numPr>
      <w:ind w:left="1134" w:hanging="1134"/>
      <w:outlineLvl w:val="9"/>
    </w:pPr>
    <w:rPr>
      <w:rFonts w:cs="Times New Roman"/>
      <w:szCs w:val="20"/>
      <w:lang w:eastAsia="en-US"/>
    </w:rPr>
  </w:style>
  <w:style w:type="paragraph" w:customStyle="1" w:styleId="ZA">
    <w:name w:val="ZA"/>
    <w:rsid w:val="003E06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06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06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06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06CD"/>
  </w:style>
  <w:style w:type="paragraph" w:customStyle="1" w:styleId="ZH">
    <w:name w:val="ZH"/>
    <w:rsid w:val="003E06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06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06CD"/>
    <w:pPr>
      <w:framePr w:hRule="auto" w:wrap="notBeside" w:y="852"/>
    </w:pPr>
    <w:rPr>
      <w:i w:val="0"/>
      <w:sz w:val="40"/>
    </w:rPr>
  </w:style>
  <w:style w:type="paragraph" w:customStyle="1" w:styleId="ZU">
    <w:name w:val="ZU"/>
    <w:rsid w:val="003E06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06CD"/>
    <w:pPr>
      <w:framePr w:wrap="notBeside" w:y="16161"/>
    </w:pPr>
  </w:style>
  <w:style w:type="paragraph" w:customStyle="1" w:styleId="FP">
    <w:name w:val="FP"/>
    <w:basedOn w:val="Normal"/>
    <w:rsid w:val="003E06CD"/>
    <w:pPr>
      <w:spacing w:after="0"/>
      <w:jc w:val="left"/>
    </w:pPr>
    <w:rPr>
      <w:lang w:eastAsia="en-US"/>
    </w:rPr>
  </w:style>
  <w:style w:type="paragraph" w:customStyle="1" w:styleId="Observation">
    <w:name w:val="Observation"/>
    <w:basedOn w:val="Proposal"/>
    <w:qFormat/>
    <w:rsid w:val="003E06CD"/>
    <w:pPr>
      <w:numPr>
        <w:numId w:val="13"/>
      </w:numPr>
      <w:ind w:left="1701" w:hanging="1701"/>
    </w:pPr>
  </w:style>
  <w:style w:type="paragraph" w:styleId="TableofFigures">
    <w:name w:val="table of figures"/>
    <w:basedOn w:val="Normal"/>
    <w:next w:val="Normal"/>
    <w:uiPriority w:val="99"/>
    <w:rsid w:val="003E06CD"/>
    <w:pPr>
      <w:ind w:left="1418" w:hanging="1418"/>
      <w:jc w:val="left"/>
    </w:pPr>
    <w:rPr>
      <w:b/>
    </w:rPr>
  </w:style>
  <w:style w:type="paragraph" w:styleId="Index4">
    <w:name w:val="index 4"/>
    <w:basedOn w:val="Normal"/>
    <w:next w:val="Normal"/>
    <w:autoRedefine/>
    <w:rsid w:val="003E06CD"/>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CECCD-5971-4AD1-AAE2-138457E80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18</TotalTime>
  <Pages>6</Pages>
  <Words>2227</Words>
  <Characters>11805</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Fredrik Athley</cp:lastModifiedBy>
  <cp:revision>8</cp:revision>
  <cp:lastPrinted>2008-01-31T15:09:00Z</cp:lastPrinted>
  <dcterms:created xsi:type="dcterms:W3CDTF">2017-08-11T08:33:00Z</dcterms:created>
  <dcterms:modified xsi:type="dcterms:W3CDTF">2017-08-11T15:34:00Z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9c4531af-fbc5-405e-9d73-87938800ca3a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